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DF8369" w14:textId="77777777" w:rsidR="009D6BD5" w:rsidRPr="009D6BD5" w:rsidRDefault="009D6BD5" w:rsidP="009D6BD5">
      <w:pPr>
        <w:shd w:val="clear" w:color="auto" w:fill="FFFFFF"/>
        <w:spacing w:after="0" w:line="253" w:lineRule="atLeast"/>
        <w:jc w:val="center"/>
        <w:rPr>
          <w:rFonts w:ascii="Arial" w:eastAsia="Times New Roman" w:hAnsi="Arial" w:cs="Arial"/>
          <w:color w:val="212529"/>
          <w:lang w:val="en-GB"/>
        </w:rPr>
      </w:pPr>
      <w:r w:rsidRPr="009D6BD5">
        <w:rPr>
          <w:rFonts w:ascii="Georgia" w:eastAsia="Times New Roman" w:hAnsi="Georgia" w:cs="Arial"/>
          <w:b/>
          <w:bCs/>
          <w:color w:val="212529"/>
          <w:sz w:val="28"/>
          <w:szCs w:val="28"/>
          <w:lang w:val="en-GB"/>
        </w:rPr>
        <w:t>Call for papers</w:t>
      </w:r>
    </w:p>
    <w:p w14:paraId="18C0FF6E" w14:textId="77777777" w:rsidR="009D6BD5" w:rsidRPr="009D6BD5" w:rsidRDefault="009D6BD5" w:rsidP="009D6BD5">
      <w:pPr>
        <w:shd w:val="clear" w:color="auto" w:fill="FFFFFF"/>
        <w:spacing w:after="0" w:line="253" w:lineRule="atLeast"/>
        <w:jc w:val="both"/>
        <w:rPr>
          <w:rFonts w:ascii="Arial" w:eastAsia="Times New Roman" w:hAnsi="Arial" w:cs="Arial"/>
          <w:color w:val="212529"/>
          <w:lang w:val="en-GB"/>
        </w:rPr>
      </w:pPr>
      <w:r w:rsidRPr="009D6BD5">
        <w:rPr>
          <w:rFonts w:ascii="Georgia" w:eastAsia="Times New Roman" w:hAnsi="Georgia" w:cs="Arial"/>
          <w:b/>
          <w:bCs/>
          <w:i/>
          <w:iCs/>
          <w:color w:val="212529"/>
          <w:lang w:val="en-GB"/>
        </w:rPr>
        <w:t> </w:t>
      </w:r>
    </w:p>
    <w:p w14:paraId="3F13DFD9" w14:textId="77777777" w:rsidR="009D6BD5" w:rsidRPr="009D6BD5" w:rsidRDefault="009D6BD5" w:rsidP="009D6BD5">
      <w:pPr>
        <w:shd w:val="clear" w:color="auto" w:fill="FFFFFF"/>
        <w:spacing w:after="0" w:line="253" w:lineRule="atLeast"/>
        <w:jc w:val="both"/>
        <w:rPr>
          <w:rFonts w:ascii="Arial" w:eastAsia="Times New Roman" w:hAnsi="Arial" w:cs="Arial"/>
          <w:color w:val="212529"/>
          <w:lang w:val="en-GB"/>
        </w:rPr>
      </w:pPr>
      <w:proofErr w:type="spellStart"/>
      <w:r w:rsidRPr="009D6BD5">
        <w:rPr>
          <w:rFonts w:ascii="Georgia" w:eastAsia="Times New Roman" w:hAnsi="Georgia" w:cs="Arial"/>
          <w:b/>
          <w:bCs/>
          <w:i/>
          <w:iCs/>
          <w:color w:val="212529"/>
          <w:lang w:val="en-GB"/>
        </w:rPr>
        <w:t>Revue</w:t>
      </w:r>
      <w:proofErr w:type="spellEnd"/>
      <w:r w:rsidRPr="009D6BD5">
        <w:rPr>
          <w:rFonts w:ascii="Georgia" w:eastAsia="Times New Roman" w:hAnsi="Georgia" w:cs="Arial"/>
          <w:b/>
          <w:bCs/>
          <w:i/>
          <w:iCs/>
          <w:color w:val="212529"/>
          <w:lang w:val="en-GB"/>
        </w:rPr>
        <w:t> : </w:t>
      </w:r>
      <w:proofErr w:type="spellStart"/>
      <w:r w:rsidRPr="009D6BD5">
        <w:rPr>
          <w:rFonts w:ascii="Georgia" w:eastAsia="Times New Roman" w:hAnsi="Georgia" w:cs="Arial"/>
          <w:b/>
          <w:bCs/>
          <w:i/>
          <w:iCs/>
          <w:color w:val="212529"/>
          <w:lang w:val="en-GB"/>
        </w:rPr>
        <w:t>InterArtes</w:t>
      </w:r>
      <w:proofErr w:type="spellEnd"/>
      <w:r w:rsidRPr="009D6BD5">
        <w:rPr>
          <w:rFonts w:ascii="Georgia" w:eastAsia="Times New Roman" w:hAnsi="Georgia" w:cs="Arial"/>
          <w:b/>
          <w:bCs/>
          <w:i/>
          <w:iCs/>
          <w:color w:val="212529"/>
          <w:lang w:val="en-GB"/>
        </w:rPr>
        <w:t>, </w:t>
      </w:r>
      <w:r w:rsidRPr="009D6BD5">
        <w:rPr>
          <w:rFonts w:ascii="Georgia" w:eastAsia="Times New Roman" w:hAnsi="Georgia" w:cs="Arial"/>
          <w:b/>
          <w:bCs/>
          <w:color w:val="212529"/>
          <w:lang w:val="en-GB"/>
        </w:rPr>
        <w:t>n° 8, 2026</w:t>
      </w:r>
    </w:p>
    <w:p w14:paraId="787F6D35" w14:textId="77777777" w:rsidR="009D6BD5" w:rsidRPr="009D6BD5" w:rsidRDefault="009D6BD5" w:rsidP="009D6BD5">
      <w:pPr>
        <w:shd w:val="clear" w:color="auto" w:fill="FFFFFF"/>
        <w:spacing w:after="0" w:line="253" w:lineRule="atLeast"/>
        <w:jc w:val="both"/>
        <w:rPr>
          <w:rFonts w:ascii="Arial" w:eastAsia="Times New Roman" w:hAnsi="Arial" w:cs="Arial"/>
          <w:color w:val="212529"/>
        </w:rPr>
      </w:pPr>
      <w:r w:rsidRPr="009D6BD5">
        <w:rPr>
          <w:rFonts w:ascii="Georgia" w:eastAsia="Times New Roman" w:hAnsi="Georgia" w:cs="Arial"/>
          <w:color w:val="212529"/>
        </w:rPr>
        <w:t>Diretta da: Laura Brignoli, Silvia Zangrandi</w:t>
      </w:r>
    </w:p>
    <w:p w14:paraId="4B8D813D" w14:textId="77777777" w:rsidR="009D6BD5" w:rsidRPr="009D6BD5" w:rsidRDefault="009D6BD5" w:rsidP="009D6BD5">
      <w:pPr>
        <w:shd w:val="clear" w:color="auto" w:fill="FFFFFF"/>
        <w:spacing w:after="0" w:line="253" w:lineRule="atLeast"/>
        <w:jc w:val="both"/>
        <w:rPr>
          <w:rFonts w:ascii="Arial" w:eastAsia="Times New Roman" w:hAnsi="Arial" w:cs="Arial"/>
          <w:color w:val="212529"/>
        </w:rPr>
      </w:pPr>
      <w:r w:rsidRPr="009D6BD5">
        <w:rPr>
          <w:rFonts w:ascii="Georgia" w:eastAsia="Times New Roman" w:hAnsi="Georgia" w:cs="Arial"/>
          <w:color w:val="212529"/>
        </w:rPr>
        <w:t>Dipartimento di « Studi Umanistici »</w:t>
      </w:r>
    </w:p>
    <w:p w14:paraId="0EA3EC16" w14:textId="77777777" w:rsidR="009D6BD5" w:rsidRPr="009D6BD5" w:rsidRDefault="009D6BD5" w:rsidP="009D6BD5">
      <w:pPr>
        <w:shd w:val="clear" w:color="auto" w:fill="FFFFFF"/>
        <w:spacing w:after="0" w:line="253" w:lineRule="atLeast"/>
        <w:jc w:val="both"/>
        <w:rPr>
          <w:rFonts w:ascii="Arial" w:eastAsia="Times New Roman" w:hAnsi="Arial" w:cs="Arial"/>
          <w:color w:val="212529"/>
        </w:rPr>
      </w:pPr>
      <w:r w:rsidRPr="009D6BD5">
        <w:rPr>
          <w:rFonts w:ascii="Georgia" w:eastAsia="Times New Roman" w:hAnsi="Georgia" w:cs="Arial"/>
          <w:color w:val="212529"/>
        </w:rPr>
        <w:t>Università IULM - Milano</w:t>
      </w:r>
    </w:p>
    <w:p w14:paraId="41A4C330" w14:textId="77777777" w:rsidR="009D6BD5" w:rsidRPr="009D6BD5" w:rsidRDefault="009D6BD5" w:rsidP="009D6BD5">
      <w:pPr>
        <w:shd w:val="clear" w:color="auto" w:fill="FFFFFF"/>
        <w:spacing w:after="0" w:line="253" w:lineRule="atLeast"/>
        <w:jc w:val="both"/>
        <w:rPr>
          <w:rFonts w:ascii="Arial" w:eastAsia="Times New Roman" w:hAnsi="Arial" w:cs="Arial"/>
          <w:color w:val="212529"/>
        </w:rPr>
      </w:pPr>
      <w:r w:rsidRPr="009D6BD5">
        <w:rPr>
          <w:rFonts w:ascii="Georgia" w:eastAsia="Times New Roman" w:hAnsi="Georgia" w:cs="Arial"/>
          <w:color w:val="212529"/>
        </w:rPr>
        <w:t> </w:t>
      </w:r>
    </w:p>
    <w:p w14:paraId="68E0CEF1" w14:textId="77777777" w:rsidR="009D6BD5" w:rsidRPr="009D6BD5" w:rsidRDefault="009D6BD5" w:rsidP="009D6BD5">
      <w:pPr>
        <w:shd w:val="clear" w:color="auto" w:fill="FFFFFF"/>
        <w:spacing w:after="0" w:line="253" w:lineRule="atLeast"/>
        <w:jc w:val="both"/>
        <w:rPr>
          <w:rFonts w:ascii="Arial" w:eastAsia="Times New Roman" w:hAnsi="Arial" w:cs="Arial"/>
          <w:color w:val="212529"/>
        </w:rPr>
      </w:pPr>
      <w:r w:rsidRPr="009D6BD5">
        <w:rPr>
          <w:rFonts w:ascii="Arial" w:eastAsia="Times New Roman" w:hAnsi="Arial" w:cs="Arial"/>
          <w:color w:val="212529"/>
        </w:rPr>
        <w:t> </w:t>
      </w:r>
    </w:p>
    <w:p w14:paraId="136FF0D5" w14:textId="77777777" w:rsidR="009D6BD5" w:rsidRPr="009D6BD5" w:rsidRDefault="009D6BD5" w:rsidP="009D6BD5">
      <w:pPr>
        <w:shd w:val="clear" w:color="auto" w:fill="FFFFFF"/>
        <w:spacing w:after="100" w:afterAutospacing="1" w:line="360" w:lineRule="atLeast"/>
        <w:ind w:firstLine="709"/>
        <w:jc w:val="center"/>
        <w:rPr>
          <w:rFonts w:ascii="Arial" w:eastAsia="Times New Roman" w:hAnsi="Arial" w:cs="Arial"/>
          <w:color w:val="212529"/>
          <w:sz w:val="27"/>
          <w:szCs w:val="27"/>
        </w:rPr>
      </w:pPr>
      <w:r w:rsidRPr="009D6BD5">
        <w:rPr>
          <w:rFonts w:ascii="Georgia" w:eastAsia="Times New Roman" w:hAnsi="Georgia" w:cs="Times New Roman"/>
          <w:b/>
          <w:bCs/>
          <w:color w:val="000000"/>
          <w:sz w:val="33"/>
          <w:szCs w:val="33"/>
        </w:rPr>
        <w:t>La dimensione “straniera” del testo: fra ricezione letteraria e rappresentazione culturale</w:t>
      </w:r>
    </w:p>
    <w:p w14:paraId="4876E9D4" w14:textId="77777777" w:rsidR="009D6BD5" w:rsidRPr="009D6BD5" w:rsidRDefault="009D6BD5" w:rsidP="009D6BD5">
      <w:pPr>
        <w:shd w:val="clear" w:color="auto" w:fill="FFFFFF"/>
        <w:spacing w:after="100" w:afterAutospacing="1" w:line="360" w:lineRule="atLeast"/>
        <w:ind w:firstLine="709"/>
        <w:jc w:val="center"/>
        <w:rPr>
          <w:rFonts w:ascii="Arial" w:eastAsia="Times New Roman" w:hAnsi="Arial" w:cs="Arial"/>
          <w:color w:val="212529"/>
          <w:sz w:val="27"/>
          <w:szCs w:val="27"/>
        </w:rPr>
      </w:pPr>
      <w:r w:rsidRPr="009D6BD5">
        <w:rPr>
          <w:rFonts w:ascii="Arial" w:eastAsia="Times New Roman" w:hAnsi="Arial" w:cs="Arial"/>
          <w:color w:val="212529"/>
          <w:sz w:val="27"/>
          <w:szCs w:val="27"/>
        </w:rPr>
        <w:t> </w:t>
      </w:r>
    </w:p>
    <w:p w14:paraId="14F54AAD" w14:textId="77777777" w:rsidR="009D6BD5" w:rsidRPr="009D6BD5" w:rsidRDefault="009D6BD5" w:rsidP="009D6BD5">
      <w:pPr>
        <w:shd w:val="clear" w:color="auto" w:fill="FFFFFF"/>
        <w:spacing w:after="100" w:afterAutospacing="1" w:line="360" w:lineRule="atLeast"/>
        <w:ind w:firstLine="709"/>
        <w:jc w:val="both"/>
        <w:rPr>
          <w:rFonts w:ascii="Arial" w:eastAsia="Times New Roman" w:hAnsi="Arial" w:cs="Arial"/>
          <w:color w:val="212529"/>
          <w:sz w:val="27"/>
          <w:szCs w:val="27"/>
        </w:rPr>
      </w:pPr>
      <w:r w:rsidRPr="009D6BD5">
        <w:rPr>
          <w:rFonts w:ascii="Georgia" w:eastAsia="Times New Roman" w:hAnsi="Georgia" w:cs="Times New Roman"/>
          <w:color w:val="212529"/>
          <w:sz w:val="24"/>
          <w:szCs w:val="24"/>
        </w:rPr>
        <w:t>La questione della dimensione straniera del testo letterario o meglio la focalizzazione sull’esperienza dell’alterità, o su ciò che definiamo “altro”, veicolata attraverso strategie retoriche, soluzioni linguistiche, condizionamenti culturali, si configura come uno degli ambiti critici più avvincenti che nel tempo hanno attraversato gli studi di letteratura comparata.</w:t>
      </w:r>
    </w:p>
    <w:p w14:paraId="213E8E77" w14:textId="77777777" w:rsidR="009D6BD5" w:rsidRPr="009D6BD5" w:rsidRDefault="009D6BD5" w:rsidP="009D6BD5">
      <w:pPr>
        <w:shd w:val="clear" w:color="auto" w:fill="FFFFFF"/>
        <w:spacing w:after="100" w:afterAutospacing="1" w:line="360" w:lineRule="atLeast"/>
        <w:ind w:firstLine="709"/>
        <w:jc w:val="both"/>
        <w:rPr>
          <w:rFonts w:ascii="Arial" w:eastAsia="Times New Roman" w:hAnsi="Arial" w:cs="Arial"/>
          <w:color w:val="212529"/>
          <w:sz w:val="27"/>
          <w:szCs w:val="27"/>
        </w:rPr>
      </w:pPr>
      <w:r w:rsidRPr="009D6BD5">
        <w:rPr>
          <w:rFonts w:ascii="Georgia" w:eastAsia="Times New Roman" w:hAnsi="Georgia" w:cs="Times New Roman"/>
          <w:color w:val="212529"/>
          <w:sz w:val="24"/>
          <w:szCs w:val="24"/>
        </w:rPr>
        <w:t>Se uno degli obiettivi principali della letteratura comparata è lo studio della dimensione “altra” presente in un testo e nelle pratiche di scrittura che lo caratterizzano, si può intuire quanto la riflessione sulle opere straniere possa interessare lo studio comparatistico in una prospettiva critica centrata appunto sulla ricezione letteraria di testi stranieri.</w:t>
      </w:r>
    </w:p>
    <w:p w14:paraId="77EC26DF" w14:textId="77777777" w:rsidR="009D6BD5" w:rsidRPr="009D6BD5" w:rsidRDefault="009D6BD5" w:rsidP="009D6BD5">
      <w:pPr>
        <w:shd w:val="clear" w:color="auto" w:fill="FFFFFF"/>
        <w:spacing w:after="100" w:afterAutospacing="1" w:line="360" w:lineRule="atLeast"/>
        <w:ind w:firstLine="709"/>
        <w:jc w:val="both"/>
        <w:rPr>
          <w:rFonts w:ascii="Arial" w:eastAsia="Times New Roman" w:hAnsi="Arial" w:cs="Arial"/>
          <w:color w:val="212529"/>
          <w:sz w:val="27"/>
          <w:szCs w:val="27"/>
        </w:rPr>
      </w:pPr>
      <w:r w:rsidRPr="009D6BD5">
        <w:rPr>
          <w:rFonts w:ascii="Georgia" w:eastAsia="Times New Roman" w:hAnsi="Georgia" w:cs="Times New Roman"/>
          <w:color w:val="212529"/>
          <w:sz w:val="24"/>
          <w:szCs w:val="24"/>
        </w:rPr>
        <w:t xml:space="preserve">Si vuole qui riprendere la portata innovatrice esercitata da un’estetica della ricezione che, teorizzata da Hans Robert </w:t>
      </w:r>
      <w:proofErr w:type="spellStart"/>
      <w:r w:rsidRPr="009D6BD5">
        <w:rPr>
          <w:rFonts w:ascii="Georgia" w:eastAsia="Times New Roman" w:hAnsi="Georgia" w:cs="Times New Roman"/>
          <w:color w:val="212529"/>
          <w:sz w:val="24"/>
          <w:szCs w:val="24"/>
        </w:rPr>
        <w:t>Jauss</w:t>
      </w:r>
      <w:proofErr w:type="spellEnd"/>
      <w:r w:rsidRPr="009D6BD5">
        <w:rPr>
          <w:rFonts w:ascii="Georgia" w:eastAsia="Times New Roman" w:hAnsi="Georgia" w:cs="Times New Roman"/>
          <w:color w:val="212529"/>
          <w:sz w:val="24"/>
          <w:szCs w:val="24"/>
        </w:rPr>
        <w:t xml:space="preserve"> e da Wolfgang </w:t>
      </w:r>
      <w:proofErr w:type="spellStart"/>
      <w:r w:rsidRPr="009D6BD5">
        <w:rPr>
          <w:rFonts w:ascii="Georgia" w:eastAsia="Times New Roman" w:hAnsi="Georgia" w:cs="Times New Roman"/>
          <w:color w:val="212529"/>
          <w:sz w:val="24"/>
          <w:szCs w:val="24"/>
        </w:rPr>
        <w:t>Iser</w:t>
      </w:r>
      <w:proofErr w:type="spellEnd"/>
      <w:r w:rsidRPr="009D6BD5">
        <w:rPr>
          <w:rFonts w:ascii="Georgia" w:eastAsia="Times New Roman" w:hAnsi="Georgia" w:cs="Times New Roman"/>
          <w:color w:val="212529"/>
          <w:sz w:val="24"/>
          <w:szCs w:val="24"/>
        </w:rPr>
        <w:t xml:space="preserve"> nell’ambito del progetto sviluppato dalla Scuola di Costanza nel corso degli anni  Sessanta e Settanta del Novecento, ha di fatto condannato l’autonomia del testo letterario, valorizzando l’aspetto relazionale che collega il testo al pubblico dei lettori, alla dimensione storica, alla componente fenomenologica che caratterizza la scrittura [R. T. </w:t>
      </w:r>
      <w:proofErr w:type="spellStart"/>
      <w:r w:rsidRPr="009D6BD5">
        <w:rPr>
          <w:rFonts w:ascii="Georgia" w:eastAsia="Times New Roman" w:hAnsi="Georgia" w:cs="Times New Roman"/>
          <w:color w:val="212529"/>
          <w:sz w:val="24"/>
          <w:szCs w:val="24"/>
        </w:rPr>
        <w:t>Segers</w:t>
      </w:r>
      <w:proofErr w:type="spellEnd"/>
      <w:r w:rsidRPr="009D6BD5">
        <w:rPr>
          <w:rFonts w:ascii="Georgia" w:eastAsia="Times New Roman" w:hAnsi="Georgia" w:cs="Times New Roman"/>
          <w:color w:val="212529"/>
          <w:sz w:val="24"/>
          <w:szCs w:val="24"/>
        </w:rPr>
        <w:t>, 1997]. Posizione teorica peraltro ripresa e declinata negli anni Ottanta in America entro i canoni di un </w:t>
      </w:r>
      <w:r w:rsidRPr="009D6BD5">
        <w:rPr>
          <w:rFonts w:ascii="Georgia" w:eastAsia="Times New Roman" w:hAnsi="Georgia" w:cs="Times New Roman"/>
          <w:i/>
          <w:iCs/>
          <w:color w:val="212529"/>
          <w:sz w:val="24"/>
          <w:szCs w:val="24"/>
        </w:rPr>
        <w:t>Reader-</w:t>
      </w:r>
      <w:proofErr w:type="spellStart"/>
      <w:r w:rsidRPr="009D6BD5">
        <w:rPr>
          <w:rFonts w:ascii="Georgia" w:eastAsia="Times New Roman" w:hAnsi="Georgia" w:cs="Times New Roman"/>
          <w:i/>
          <w:iCs/>
          <w:color w:val="212529"/>
          <w:sz w:val="24"/>
          <w:szCs w:val="24"/>
        </w:rPr>
        <w:t>Response</w:t>
      </w:r>
      <w:proofErr w:type="spellEnd"/>
      <w:r w:rsidRPr="009D6BD5">
        <w:rPr>
          <w:rFonts w:ascii="Georgia" w:eastAsia="Times New Roman" w:hAnsi="Georgia" w:cs="Times New Roman"/>
          <w:i/>
          <w:iCs/>
          <w:color w:val="212529"/>
          <w:sz w:val="24"/>
          <w:szCs w:val="24"/>
        </w:rPr>
        <w:t xml:space="preserve"> </w:t>
      </w:r>
      <w:proofErr w:type="spellStart"/>
      <w:r w:rsidRPr="009D6BD5">
        <w:rPr>
          <w:rFonts w:ascii="Georgia" w:eastAsia="Times New Roman" w:hAnsi="Georgia" w:cs="Times New Roman"/>
          <w:i/>
          <w:iCs/>
          <w:color w:val="212529"/>
          <w:sz w:val="24"/>
          <w:szCs w:val="24"/>
        </w:rPr>
        <w:t>Criticism</w:t>
      </w:r>
      <w:proofErr w:type="spellEnd"/>
      <w:r w:rsidRPr="009D6BD5">
        <w:rPr>
          <w:rFonts w:ascii="Georgia" w:eastAsia="Times New Roman" w:hAnsi="Georgia" w:cs="Times New Roman"/>
          <w:color w:val="212529"/>
          <w:sz w:val="24"/>
          <w:szCs w:val="24"/>
        </w:rPr>
        <w:t>,</w:t>
      </w:r>
      <w:r w:rsidRPr="009D6BD5">
        <w:rPr>
          <w:rFonts w:ascii="Georgia" w:eastAsia="Times New Roman" w:hAnsi="Georgia" w:cs="Times New Roman"/>
          <w:i/>
          <w:iCs/>
          <w:color w:val="212529"/>
          <w:sz w:val="24"/>
          <w:szCs w:val="24"/>
        </w:rPr>
        <w:t> </w:t>
      </w:r>
      <w:r w:rsidRPr="009D6BD5">
        <w:rPr>
          <w:rFonts w:ascii="Georgia" w:eastAsia="Times New Roman" w:hAnsi="Georgia" w:cs="Times New Roman"/>
          <w:color w:val="212529"/>
          <w:sz w:val="24"/>
          <w:szCs w:val="24"/>
        </w:rPr>
        <w:t>che ha valorizzato gli aspetti pragmatici della letteratura ed ha riposizionato la questione della ricezione letteraria all’interno di un interesse prevalente per gli aspetti socio-culturali della comunicazione letteraria e per i fenomeni di identificazione che si instaurano fra il lettore e l’opera [J. P. Tompkins (ed.), 1980].</w:t>
      </w:r>
    </w:p>
    <w:p w14:paraId="399C2954" w14:textId="77777777" w:rsidR="009D6BD5" w:rsidRPr="009D6BD5" w:rsidRDefault="009D6BD5" w:rsidP="009D6BD5">
      <w:pPr>
        <w:shd w:val="clear" w:color="auto" w:fill="FFFFFF"/>
        <w:spacing w:after="100" w:afterAutospacing="1" w:line="360" w:lineRule="atLeast"/>
        <w:ind w:firstLine="709"/>
        <w:jc w:val="both"/>
        <w:rPr>
          <w:rFonts w:ascii="Arial" w:eastAsia="Times New Roman" w:hAnsi="Arial" w:cs="Arial"/>
          <w:color w:val="212529"/>
          <w:sz w:val="27"/>
          <w:szCs w:val="27"/>
        </w:rPr>
      </w:pPr>
      <w:r w:rsidRPr="009D6BD5">
        <w:rPr>
          <w:rFonts w:ascii="Georgia" w:eastAsia="Times New Roman" w:hAnsi="Georgia" w:cs="Times New Roman"/>
          <w:color w:val="000000"/>
          <w:sz w:val="24"/>
          <w:szCs w:val="24"/>
        </w:rPr>
        <w:t xml:space="preserve">Lo scenario globale entro il quale oggi si genera e si colloca ogni fatto letterario – scrittura, lettura, traduzione, comunicazione, produzione, canale di diffusione – richiede un approccio analitico e interpretativo aperto a pratiche plurali e ibride, intese come punto di convergenza di un sapere umanistico sempre più fondato sul principio dell’intersezione, dell’ibridazione, che tenga conto della rilevanza delle tecnologie nei processi linguistici e di </w:t>
      </w:r>
      <w:r w:rsidRPr="009D6BD5">
        <w:rPr>
          <w:rFonts w:ascii="Georgia" w:eastAsia="Times New Roman" w:hAnsi="Georgia" w:cs="Times New Roman"/>
          <w:color w:val="000000"/>
          <w:sz w:val="24"/>
          <w:szCs w:val="24"/>
        </w:rPr>
        <w:lastRenderedPageBreak/>
        <w:t>comunicazione: la vasta produzione scientifica e convegnistica alimentata dagli studi sull’</w:t>
      </w:r>
      <w:proofErr w:type="spellStart"/>
      <w:r w:rsidRPr="009D6BD5">
        <w:rPr>
          <w:rFonts w:ascii="Georgia" w:eastAsia="Times New Roman" w:hAnsi="Georgia" w:cs="Times New Roman"/>
          <w:color w:val="000000"/>
          <w:sz w:val="24"/>
          <w:szCs w:val="24"/>
        </w:rPr>
        <w:t>intermedialità</w:t>
      </w:r>
      <w:proofErr w:type="spellEnd"/>
      <w:r w:rsidRPr="009D6BD5">
        <w:rPr>
          <w:rFonts w:ascii="Georgia" w:eastAsia="Times New Roman" w:hAnsi="Georgia" w:cs="Times New Roman"/>
          <w:color w:val="000000"/>
          <w:sz w:val="24"/>
          <w:szCs w:val="24"/>
        </w:rPr>
        <w:t>, sulla fenomenologia dell’</w:t>
      </w:r>
      <w:proofErr w:type="spellStart"/>
      <w:r w:rsidRPr="009D6BD5">
        <w:rPr>
          <w:rFonts w:ascii="Georgia" w:eastAsia="Times New Roman" w:hAnsi="Georgia" w:cs="Times New Roman"/>
          <w:color w:val="000000"/>
          <w:sz w:val="24"/>
          <w:szCs w:val="24"/>
        </w:rPr>
        <w:t>iconotesto</w:t>
      </w:r>
      <w:proofErr w:type="spellEnd"/>
      <w:r w:rsidRPr="009D6BD5">
        <w:rPr>
          <w:rFonts w:ascii="Georgia" w:eastAsia="Times New Roman" w:hAnsi="Georgia" w:cs="Times New Roman"/>
          <w:color w:val="000000"/>
          <w:sz w:val="24"/>
          <w:szCs w:val="24"/>
        </w:rPr>
        <w:t>, sul cosiddetto </w:t>
      </w:r>
      <w:r w:rsidRPr="009D6BD5">
        <w:rPr>
          <w:rFonts w:ascii="Georgia" w:eastAsia="Times New Roman" w:hAnsi="Georgia" w:cs="Times New Roman"/>
          <w:i/>
          <w:iCs/>
          <w:color w:val="000000"/>
          <w:sz w:val="24"/>
          <w:szCs w:val="24"/>
        </w:rPr>
        <w:t>visual storytelling</w:t>
      </w:r>
      <w:r w:rsidRPr="009D6BD5">
        <w:rPr>
          <w:rFonts w:ascii="Georgia" w:eastAsia="Times New Roman" w:hAnsi="Georgia" w:cs="Times New Roman"/>
          <w:color w:val="000000"/>
          <w:sz w:val="24"/>
          <w:szCs w:val="24"/>
        </w:rPr>
        <w:t xml:space="preserve">, sulle neuroscienze, per ricordare alcune delle più recenti prospettive critiche, dimostra che queste sono le nuove frontiere verso cui tendono oggi molti studi di ambito comparatistico letterario [M. Freeman, R. Rampazzo </w:t>
      </w:r>
      <w:proofErr w:type="spellStart"/>
      <w:r w:rsidRPr="009D6BD5">
        <w:rPr>
          <w:rFonts w:ascii="Georgia" w:eastAsia="Times New Roman" w:hAnsi="Georgia" w:cs="Times New Roman"/>
          <w:color w:val="000000"/>
          <w:sz w:val="24"/>
          <w:szCs w:val="24"/>
        </w:rPr>
        <w:t>Gambarato</w:t>
      </w:r>
      <w:proofErr w:type="spellEnd"/>
      <w:r w:rsidRPr="009D6BD5">
        <w:rPr>
          <w:rFonts w:ascii="Georgia" w:eastAsia="Times New Roman" w:hAnsi="Georgia" w:cs="Times New Roman"/>
          <w:color w:val="000000"/>
          <w:sz w:val="24"/>
          <w:szCs w:val="24"/>
        </w:rPr>
        <w:t xml:space="preserve"> (</w:t>
      </w:r>
      <w:proofErr w:type="spellStart"/>
      <w:r w:rsidRPr="009D6BD5">
        <w:rPr>
          <w:rFonts w:ascii="Georgia" w:eastAsia="Times New Roman" w:hAnsi="Georgia" w:cs="Times New Roman"/>
          <w:color w:val="000000"/>
          <w:sz w:val="24"/>
          <w:szCs w:val="24"/>
        </w:rPr>
        <w:t>eds</w:t>
      </w:r>
      <w:proofErr w:type="spellEnd"/>
      <w:r w:rsidRPr="009D6BD5">
        <w:rPr>
          <w:rFonts w:ascii="Georgia" w:eastAsia="Times New Roman" w:hAnsi="Georgia" w:cs="Times New Roman"/>
          <w:color w:val="000000"/>
          <w:sz w:val="24"/>
          <w:szCs w:val="24"/>
        </w:rPr>
        <w:t xml:space="preserve">.), 2018; M. Fusillo, M. Lino, L. </w:t>
      </w:r>
      <w:proofErr w:type="spellStart"/>
      <w:r w:rsidRPr="009D6BD5">
        <w:rPr>
          <w:rFonts w:ascii="Georgia" w:eastAsia="Times New Roman" w:hAnsi="Georgia" w:cs="Times New Roman"/>
          <w:color w:val="000000"/>
          <w:sz w:val="24"/>
          <w:szCs w:val="24"/>
        </w:rPr>
        <w:t>Faienza</w:t>
      </w:r>
      <w:proofErr w:type="spellEnd"/>
      <w:r w:rsidRPr="009D6BD5">
        <w:rPr>
          <w:rFonts w:ascii="Georgia" w:eastAsia="Times New Roman" w:hAnsi="Georgia" w:cs="Times New Roman"/>
          <w:color w:val="000000"/>
          <w:sz w:val="24"/>
          <w:szCs w:val="24"/>
        </w:rPr>
        <w:t>, L. Marchese (</w:t>
      </w:r>
      <w:proofErr w:type="spellStart"/>
      <w:r w:rsidRPr="009D6BD5">
        <w:rPr>
          <w:rFonts w:ascii="Georgia" w:eastAsia="Times New Roman" w:hAnsi="Georgia" w:cs="Times New Roman"/>
          <w:color w:val="000000"/>
          <w:sz w:val="24"/>
          <w:szCs w:val="24"/>
        </w:rPr>
        <w:t>eds</w:t>
      </w:r>
      <w:proofErr w:type="spellEnd"/>
      <w:r w:rsidRPr="009D6BD5">
        <w:rPr>
          <w:rFonts w:ascii="Georgia" w:eastAsia="Times New Roman" w:hAnsi="Georgia" w:cs="Times New Roman"/>
          <w:color w:val="000000"/>
          <w:sz w:val="24"/>
          <w:szCs w:val="24"/>
        </w:rPr>
        <w:t>.), 2021.]</w:t>
      </w:r>
    </w:p>
    <w:p w14:paraId="36EA6025" w14:textId="77777777" w:rsidR="009D6BD5" w:rsidRPr="009D6BD5" w:rsidRDefault="009D6BD5" w:rsidP="009D6BD5">
      <w:pPr>
        <w:shd w:val="clear" w:color="auto" w:fill="FFFFFF"/>
        <w:spacing w:after="100" w:afterAutospacing="1" w:line="360" w:lineRule="atLeast"/>
        <w:ind w:firstLine="709"/>
        <w:jc w:val="both"/>
        <w:rPr>
          <w:rFonts w:ascii="Arial" w:eastAsia="Times New Roman" w:hAnsi="Arial" w:cs="Arial"/>
          <w:color w:val="212529"/>
          <w:sz w:val="27"/>
          <w:szCs w:val="27"/>
        </w:rPr>
      </w:pPr>
      <w:r w:rsidRPr="009D6BD5">
        <w:rPr>
          <w:rFonts w:ascii="Georgia" w:eastAsia="Times New Roman" w:hAnsi="Georgia" w:cs="Times New Roman"/>
          <w:color w:val="212529"/>
          <w:sz w:val="24"/>
          <w:szCs w:val="24"/>
        </w:rPr>
        <w:t>La Rivista scientifica</w:t>
      </w:r>
      <w:r w:rsidRPr="009D6BD5">
        <w:rPr>
          <w:rFonts w:ascii="Georgia" w:eastAsia="Times New Roman" w:hAnsi="Georgia" w:cs="Times New Roman"/>
          <w:i/>
          <w:iCs/>
          <w:color w:val="212529"/>
          <w:sz w:val="24"/>
          <w:szCs w:val="24"/>
        </w:rPr>
        <w:t> </w:t>
      </w:r>
      <w:proofErr w:type="spellStart"/>
      <w:r w:rsidRPr="009D6BD5">
        <w:rPr>
          <w:rFonts w:ascii="Georgia" w:eastAsia="Times New Roman" w:hAnsi="Georgia" w:cs="Times New Roman"/>
          <w:i/>
          <w:iCs/>
          <w:color w:val="212529"/>
          <w:sz w:val="24"/>
          <w:szCs w:val="24"/>
        </w:rPr>
        <w:t>Interartes</w:t>
      </w:r>
      <w:proofErr w:type="spellEnd"/>
      <w:r w:rsidRPr="009D6BD5">
        <w:rPr>
          <w:rFonts w:ascii="Georgia" w:eastAsia="Times New Roman" w:hAnsi="Georgia" w:cs="Times New Roman"/>
          <w:color w:val="212529"/>
          <w:sz w:val="24"/>
          <w:szCs w:val="24"/>
        </w:rPr>
        <w:t>, nel suo prossimo numero, dedicato a </w:t>
      </w:r>
      <w:r w:rsidRPr="009D6BD5">
        <w:rPr>
          <w:rFonts w:ascii="Georgia" w:eastAsia="Times New Roman" w:hAnsi="Georgia" w:cs="Times New Roman"/>
          <w:i/>
          <w:iCs/>
          <w:color w:val="000000"/>
          <w:sz w:val="24"/>
          <w:szCs w:val="24"/>
        </w:rPr>
        <w:t>La dimensione “straniera” del testo: fra ricezione letteraria e rappresentazione culturale</w:t>
      </w:r>
      <w:r w:rsidRPr="009D6BD5">
        <w:rPr>
          <w:rFonts w:ascii="Georgia" w:eastAsia="Times New Roman" w:hAnsi="Georgia" w:cs="Times New Roman"/>
          <w:color w:val="212529"/>
          <w:sz w:val="24"/>
          <w:szCs w:val="24"/>
        </w:rPr>
        <w:t>, vuole riprendere e rilanciare la riflessione in una prospettiva metodologica sulla questione critica qui sintetizzata, ossia la ricezione della dimensione “straniera” delle opere letterarie, nella loro lingua originale o in traduzione.</w:t>
      </w:r>
      <w:r w:rsidRPr="009D6BD5">
        <w:rPr>
          <w:rFonts w:ascii="Times New Roman" w:eastAsia="Times New Roman" w:hAnsi="Times New Roman" w:cs="Times New Roman"/>
          <w:i/>
          <w:iCs/>
          <w:color w:val="212529"/>
          <w:sz w:val="24"/>
          <w:szCs w:val="24"/>
        </w:rPr>
        <w:t> </w:t>
      </w:r>
      <w:r w:rsidRPr="009D6BD5">
        <w:rPr>
          <w:rFonts w:ascii="Georgia" w:eastAsia="Times New Roman" w:hAnsi="Georgia" w:cs="Times New Roman"/>
          <w:color w:val="212529"/>
          <w:sz w:val="24"/>
          <w:szCs w:val="24"/>
        </w:rPr>
        <w:t xml:space="preserve">Punto di partenza potranno essere le focalizzazioni sulla relazione che il testo letterario intrattiene con gli universi linguistici e culturali entro i quali si muove, perché ogni testo, indipendentemente dal proprio ambito di appartenenza (letterario, specialistico, pubblicitario, </w:t>
      </w:r>
      <w:proofErr w:type="spellStart"/>
      <w:r w:rsidRPr="009D6BD5">
        <w:rPr>
          <w:rFonts w:ascii="Georgia" w:eastAsia="Times New Roman" w:hAnsi="Georgia" w:cs="Times New Roman"/>
          <w:color w:val="212529"/>
          <w:sz w:val="24"/>
          <w:szCs w:val="24"/>
        </w:rPr>
        <w:t>ecc</w:t>
      </w:r>
      <w:proofErr w:type="spellEnd"/>
      <w:r w:rsidRPr="009D6BD5">
        <w:rPr>
          <w:rFonts w:ascii="Georgia" w:eastAsia="Times New Roman" w:hAnsi="Georgia" w:cs="Times New Roman"/>
          <w:color w:val="212529"/>
          <w:sz w:val="24"/>
          <w:szCs w:val="24"/>
        </w:rPr>
        <w:t>…),  indipendentemente dalla propria tipologia (narrativo, descrittivo, argomentativo regolativo, ecc..), produce a vario livello (scrittura, lettura, fruizioni mediali), incontri proprio fra lingue e culture e allo stesso tempo attraversamenti, manipolazioni, restituzioni di senso, mediati dagli immaginari che entrano in relazione, a loro volta rappresentati secondo precise strategie di scrittura.</w:t>
      </w:r>
    </w:p>
    <w:p w14:paraId="5877431B" w14:textId="77777777" w:rsidR="009D6BD5" w:rsidRPr="009D6BD5" w:rsidRDefault="009D6BD5" w:rsidP="009D6BD5">
      <w:pPr>
        <w:shd w:val="clear" w:color="auto" w:fill="FFFFFF"/>
        <w:spacing w:after="100" w:afterAutospacing="1" w:line="360" w:lineRule="atLeast"/>
        <w:ind w:firstLine="709"/>
        <w:jc w:val="both"/>
        <w:rPr>
          <w:rFonts w:ascii="Arial" w:eastAsia="Times New Roman" w:hAnsi="Arial" w:cs="Arial"/>
          <w:color w:val="212529"/>
          <w:sz w:val="27"/>
          <w:szCs w:val="27"/>
        </w:rPr>
      </w:pPr>
      <w:r w:rsidRPr="009D6BD5">
        <w:rPr>
          <w:rFonts w:ascii="Arial" w:eastAsia="Times New Roman" w:hAnsi="Arial" w:cs="Arial"/>
          <w:color w:val="212529"/>
          <w:sz w:val="27"/>
          <w:szCs w:val="27"/>
        </w:rPr>
        <w:t> </w:t>
      </w:r>
    </w:p>
    <w:p w14:paraId="72565093" w14:textId="77777777" w:rsidR="009D6BD5" w:rsidRPr="009D6BD5" w:rsidRDefault="009D6BD5" w:rsidP="009D6BD5">
      <w:pPr>
        <w:shd w:val="clear" w:color="auto" w:fill="FFFFFF"/>
        <w:spacing w:after="100" w:afterAutospacing="1" w:line="360" w:lineRule="atLeast"/>
        <w:ind w:firstLine="709"/>
        <w:jc w:val="both"/>
        <w:rPr>
          <w:rFonts w:ascii="Arial" w:eastAsia="Times New Roman" w:hAnsi="Arial" w:cs="Arial"/>
          <w:color w:val="212529"/>
          <w:sz w:val="27"/>
          <w:szCs w:val="27"/>
        </w:rPr>
      </w:pPr>
      <w:r w:rsidRPr="009D6BD5">
        <w:rPr>
          <w:rFonts w:ascii="Georgia" w:eastAsia="Times New Roman" w:hAnsi="Georgia" w:cs="Times New Roman"/>
          <w:color w:val="212529"/>
          <w:sz w:val="24"/>
          <w:szCs w:val="24"/>
        </w:rPr>
        <w:t>Con l’obiettivo di orientare l’approccio critico verso la prospettiva della ricezione letteraria in un ambito di esperienze e di conoscenze dell’“altro” progressivamente riconducibile ad una dimensione storico-culturale, si propongono alcuni possibili percorsi analitici e interpretativi:</w:t>
      </w:r>
    </w:p>
    <w:p w14:paraId="745E1B93" w14:textId="77777777" w:rsidR="009D6BD5" w:rsidRPr="009D6BD5" w:rsidRDefault="009D6BD5" w:rsidP="009D6BD5">
      <w:pPr>
        <w:numPr>
          <w:ilvl w:val="0"/>
          <w:numId w:val="1"/>
        </w:numPr>
        <w:shd w:val="clear" w:color="auto" w:fill="FFFFFF"/>
        <w:spacing w:before="100" w:beforeAutospacing="1" w:after="100" w:afterAutospacing="1" w:line="240" w:lineRule="auto"/>
        <w:ind w:left="840"/>
        <w:jc w:val="both"/>
        <w:rPr>
          <w:rFonts w:ascii="Arial" w:eastAsia="Times New Roman" w:hAnsi="Arial" w:cs="Arial"/>
          <w:color w:val="212529"/>
          <w:sz w:val="27"/>
          <w:szCs w:val="27"/>
        </w:rPr>
      </w:pPr>
      <w:r w:rsidRPr="009D6BD5">
        <w:rPr>
          <w:rFonts w:ascii="Georgia" w:eastAsia="Times New Roman" w:hAnsi="Georgia" w:cs="Times New Roman"/>
          <w:b/>
          <w:bCs/>
          <w:color w:val="212529"/>
          <w:sz w:val="24"/>
          <w:szCs w:val="24"/>
        </w:rPr>
        <w:t>Traduzione</w:t>
      </w:r>
      <w:r w:rsidRPr="009D6BD5">
        <w:rPr>
          <w:rFonts w:ascii="Georgia" w:eastAsia="Times New Roman" w:hAnsi="Georgia" w:cs="Times New Roman"/>
          <w:color w:val="212529"/>
          <w:sz w:val="24"/>
          <w:szCs w:val="24"/>
        </w:rPr>
        <w:t xml:space="preserve">. Non si tratta in questo caso di un approccio teorico; piuttosto, di una lettura linguistico-letteraria, oltre che storica, del fenomeno traduttivo, secondo l’ispirazione fornita dagli studi di I. </w:t>
      </w:r>
      <w:proofErr w:type="spellStart"/>
      <w:r w:rsidRPr="009D6BD5">
        <w:rPr>
          <w:rFonts w:ascii="Georgia" w:eastAsia="Times New Roman" w:hAnsi="Georgia" w:cs="Times New Roman"/>
          <w:color w:val="212529"/>
          <w:sz w:val="24"/>
          <w:szCs w:val="24"/>
        </w:rPr>
        <w:t>Even</w:t>
      </w:r>
      <w:proofErr w:type="spellEnd"/>
      <w:r w:rsidRPr="009D6BD5">
        <w:rPr>
          <w:rFonts w:ascii="Georgia" w:eastAsia="Times New Roman" w:hAnsi="Georgia" w:cs="Times New Roman"/>
          <w:color w:val="212529"/>
          <w:sz w:val="24"/>
          <w:szCs w:val="24"/>
        </w:rPr>
        <w:t xml:space="preserve">-Zohar e G. </w:t>
      </w:r>
      <w:proofErr w:type="spellStart"/>
      <w:r w:rsidRPr="009D6BD5">
        <w:rPr>
          <w:rFonts w:ascii="Georgia" w:eastAsia="Times New Roman" w:hAnsi="Georgia" w:cs="Times New Roman"/>
          <w:color w:val="212529"/>
          <w:sz w:val="24"/>
          <w:szCs w:val="24"/>
        </w:rPr>
        <w:t>Toury</w:t>
      </w:r>
      <w:proofErr w:type="spellEnd"/>
      <w:r w:rsidRPr="009D6BD5">
        <w:rPr>
          <w:rFonts w:ascii="Georgia" w:eastAsia="Times New Roman" w:hAnsi="Georgia" w:cs="Times New Roman"/>
          <w:color w:val="212529"/>
          <w:sz w:val="24"/>
          <w:szCs w:val="24"/>
        </w:rPr>
        <w:t xml:space="preserve"> attraverso la modellizzazione del </w:t>
      </w:r>
      <w:proofErr w:type="spellStart"/>
      <w:r w:rsidRPr="009D6BD5">
        <w:rPr>
          <w:rFonts w:ascii="Georgia" w:eastAsia="Times New Roman" w:hAnsi="Georgia" w:cs="Times New Roman"/>
          <w:color w:val="212529"/>
          <w:sz w:val="24"/>
          <w:szCs w:val="24"/>
        </w:rPr>
        <w:t>polisistema</w:t>
      </w:r>
      <w:proofErr w:type="spellEnd"/>
      <w:r w:rsidRPr="009D6BD5">
        <w:rPr>
          <w:rFonts w:ascii="Georgia" w:eastAsia="Times New Roman" w:hAnsi="Georgia" w:cs="Times New Roman"/>
          <w:color w:val="212529"/>
          <w:sz w:val="24"/>
          <w:szCs w:val="24"/>
        </w:rPr>
        <w:t xml:space="preserve"> letterario. Si pensi al ruolo delle traduzioni nella produzione letteraria complessiva di un’epoca, così come alle condizioni materiali di produzione e di diffusione di un testo letterario in traduzione o, ancora, all’atto stesso del tradurre e al confronto da esso richiesto fra questioni propriamente estetico-letterarie (apporti lessicali, cambiamenti stilistici, cambiamenti di genere, …)  e aspetti socio-culturali (funzione della traduzione come operatore attivo che colma/compensa questioni di ordine tematico, ideologico, …).</w:t>
      </w:r>
    </w:p>
    <w:p w14:paraId="5954C020" w14:textId="77777777" w:rsidR="009D6BD5" w:rsidRPr="009D6BD5" w:rsidRDefault="009D6BD5" w:rsidP="009D6BD5">
      <w:pPr>
        <w:numPr>
          <w:ilvl w:val="0"/>
          <w:numId w:val="1"/>
        </w:numPr>
        <w:shd w:val="clear" w:color="auto" w:fill="FFFFFF"/>
        <w:spacing w:before="100" w:beforeAutospacing="1" w:after="100" w:afterAutospacing="1" w:line="240" w:lineRule="auto"/>
        <w:ind w:left="840"/>
        <w:jc w:val="both"/>
        <w:rPr>
          <w:rFonts w:ascii="Arial" w:eastAsia="Times New Roman" w:hAnsi="Arial" w:cs="Arial"/>
          <w:color w:val="212529"/>
          <w:sz w:val="27"/>
          <w:szCs w:val="27"/>
        </w:rPr>
      </w:pPr>
      <w:r w:rsidRPr="009D6BD5">
        <w:rPr>
          <w:rFonts w:ascii="Georgia" w:eastAsia="Times New Roman" w:hAnsi="Georgia" w:cs="Times New Roman"/>
          <w:b/>
          <w:bCs/>
          <w:color w:val="212529"/>
          <w:sz w:val="24"/>
          <w:szCs w:val="24"/>
        </w:rPr>
        <w:t>Aspetti editoriali e diffusione </w:t>
      </w:r>
      <w:r w:rsidRPr="009D6BD5">
        <w:rPr>
          <w:rFonts w:ascii="Georgia" w:eastAsia="Times New Roman" w:hAnsi="Georgia" w:cs="Times New Roman"/>
          <w:color w:val="212529"/>
          <w:sz w:val="24"/>
          <w:szCs w:val="24"/>
        </w:rPr>
        <w:t>della letteratura. Si tratta, in questo caso, di focalizzazioni convergenti su fenomeni editoriali, commerciali, materiali o di ordine intellettuale, potenzialmente attivi nell’influenzare, condizionare, orientare la lettura, “il consumo” della dimensione “altra” del testo letterario (edizioni illustrate che riorientano la valutazione critica dell’opera; il ruolo delle riviste di settore; le molteplici forme di intermediazione fra il testo e i suoi pubblici).</w:t>
      </w:r>
    </w:p>
    <w:p w14:paraId="235B70DB" w14:textId="77777777" w:rsidR="009D6BD5" w:rsidRPr="009D6BD5" w:rsidRDefault="009D6BD5" w:rsidP="009D6BD5">
      <w:pPr>
        <w:numPr>
          <w:ilvl w:val="0"/>
          <w:numId w:val="1"/>
        </w:numPr>
        <w:shd w:val="clear" w:color="auto" w:fill="FFFFFF"/>
        <w:spacing w:before="100" w:beforeAutospacing="1" w:after="100" w:afterAutospacing="1" w:line="240" w:lineRule="auto"/>
        <w:ind w:left="840"/>
        <w:jc w:val="both"/>
        <w:rPr>
          <w:rFonts w:ascii="Arial" w:eastAsia="Times New Roman" w:hAnsi="Arial" w:cs="Arial"/>
          <w:color w:val="212529"/>
          <w:sz w:val="27"/>
          <w:szCs w:val="27"/>
        </w:rPr>
      </w:pPr>
      <w:r w:rsidRPr="009D6BD5">
        <w:rPr>
          <w:rFonts w:ascii="Georgia" w:eastAsia="Times New Roman" w:hAnsi="Georgia" w:cs="Times New Roman"/>
          <w:b/>
          <w:bCs/>
          <w:color w:val="212529"/>
          <w:sz w:val="24"/>
          <w:szCs w:val="24"/>
        </w:rPr>
        <w:lastRenderedPageBreak/>
        <w:t>Letture critiche</w:t>
      </w:r>
      <w:r w:rsidRPr="009D6BD5">
        <w:rPr>
          <w:rFonts w:ascii="Georgia" w:eastAsia="Times New Roman" w:hAnsi="Georgia" w:cs="Times New Roman"/>
          <w:color w:val="212529"/>
          <w:sz w:val="24"/>
          <w:szCs w:val="24"/>
        </w:rPr>
        <w:t>. Il riferimento è al discorso critico che ha accompagnato la penetrazione, la diffusione o il rifiuto di un’opera letteraria attraverso i canali della stampa o delle riviste, letterarie e non. Accanto a queste associazioni si può poi procedere nello studio dell’attualizzazione e della naturalizzazione dell’opera letteraria “straniera”, nella considerazione di molteplici aspetti, come la situazione culturale del pubblico dei lettori (ideologie dominanti, fenomeni di censura), i criteri di analisi letteraria, le condizioni di interpretazione del testo, le possibilità di inclusione o di rottura dell’opera letteraria “straniera” nel quadro sociale considerato o all’interno di una tradizione culturale. Senza dimenticare il ruolo svolto dalla manualistica nella sua funzione pedagogica e formativa in senso generale.</w:t>
      </w:r>
    </w:p>
    <w:p w14:paraId="06054440" w14:textId="77777777" w:rsidR="009D6BD5" w:rsidRPr="009D6BD5" w:rsidRDefault="009D6BD5" w:rsidP="009D6BD5">
      <w:pPr>
        <w:numPr>
          <w:ilvl w:val="0"/>
          <w:numId w:val="1"/>
        </w:numPr>
        <w:shd w:val="clear" w:color="auto" w:fill="FFFFFF"/>
        <w:spacing w:before="100" w:beforeAutospacing="1" w:after="100" w:afterAutospacing="1" w:line="240" w:lineRule="auto"/>
        <w:ind w:left="840"/>
        <w:jc w:val="both"/>
        <w:rPr>
          <w:rFonts w:ascii="Arial" w:eastAsia="Times New Roman" w:hAnsi="Arial" w:cs="Arial"/>
          <w:color w:val="212529"/>
          <w:sz w:val="27"/>
          <w:szCs w:val="27"/>
        </w:rPr>
      </w:pPr>
      <w:r w:rsidRPr="009D6BD5">
        <w:rPr>
          <w:rFonts w:ascii="Georgia" w:eastAsia="Times New Roman" w:hAnsi="Georgia" w:cs="Times New Roman"/>
          <w:b/>
          <w:bCs/>
          <w:color w:val="212529"/>
          <w:sz w:val="24"/>
          <w:szCs w:val="24"/>
        </w:rPr>
        <w:t>Studi comparati fra testo letterario e ambiti non letterari</w:t>
      </w:r>
      <w:r w:rsidRPr="009D6BD5">
        <w:rPr>
          <w:rFonts w:ascii="Georgia" w:eastAsia="Times New Roman" w:hAnsi="Georgia" w:cs="Times New Roman"/>
          <w:color w:val="212529"/>
          <w:sz w:val="24"/>
          <w:szCs w:val="24"/>
        </w:rPr>
        <w:t xml:space="preserve">. La conoscenza dell’“altro”, oggi sempre di più richiede l’indagine sui rapporti dialettici che tutte le forme di rappresentazione artistica e mediale possono sviluppare e intrattenere con il testo letterario. Da una prospettiva comparatistica, lo sviluppo delle conoscenze culturali, di cui ogni relazione </w:t>
      </w:r>
      <w:proofErr w:type="spellStart"/>
      <w:r w:rsidRPr="009D6BD5">
        <w:rPr>
          <w:rFonts w:ascii="Georgia" w:eastAsia="Times New Roman" w:hAnsi="Georgia" w:cs="Times New Roman"/>
          <w:color w:val="212529"/>
          <w:sz w:val="24"/>
          <w:szCs w:val="24"/>
        </w:rPr>
        <w:t>interartistica</w:t>
      </w:r>
      <w:proofErr w:type="spellEnd"/>
      <w:r w:rsidRPr="009D6BD5">
        <w:rPr>
          <w:rFonts w:ascii="Georgia" w:eastAsia="Times New Roman" w:hAnsi="Georgia" w:cs="Times New Roman"/>
          <w:color w:val="212529"/>
          <w:sz w:val="24"/>
          <w:szCs w:val="24"/>
        </w:rPr>
        <w:t xml:space="preserve"> è espressione, è fondamentale ai fini di una valutazione letteraria approfondita e articolata.</w:t>
      </w:r>
    </w:p>
    <w:p w14:paraId="1317F1B1" w14:textId="77777777" w:rsidR="009D6BD5" w:rsidRPr="009D6BD5" w:rsidRDefault="009D6BD5" w:rsidP="009D6BD5">
      <w:pPr>
        <w:numPr>
          <w:ilvl w:val="0"/>
          <w:numId w:val="1"/>
        </w:numPr>
        <w:shd w:val="clear" w:color="auto" w:fill="FFFFFF"/>
        <w:spacing w:before="100" w:beforeAutospacing="1" w:after="100" w:afterAutospacing="1" w:line="240" w:lineRule="auto"/>
        <w:ind w:left="840"/>
        <w:jc w:val="both"/>
        <w:rPr>
          <w:rFonts w:ascii="Arial" w:eastAsia="Times New Roman" w:hAnsi="Arial" w:cs="Arial"/>
          <w:color w:val="212529"/>
          <w:sz w:val="27"/>
          <w:szCs w:val="27"/>
        </w:rPr>
      </w:pPr>
      <w:r w:rsidRPr="009D6BD5">
        <w:rPr>
          <w:rFonts w:ascii="Georgia" w:eastAsia="Times New Roman" w:hAnsi="Georgia" w:cs="Times New Roman"/>
          <w:b/>
          <w:bCs/>
          <w:color w:val="212529"/>
          <w:sz w:val="24"/>
          <w:szCs w:val="24"/>
        </w:rPr>
        <w:t>Odeporica e esperienza del viaggio</w:t>
      </w:r>
      <w:r w:rsidRPr="009D6BD5">
        <w:rPr>
          <w:rFonts w:ascii="Georgia" w:eastAsia="Times New Roman" w:hAnsi="Georgia" w:cs="Times New Roman"/>
          <w:color w:val="212529"/>
          <w:sz w:val="24"/>
          <w:szCs w:val="24"/>
        </w:rPr>
        <w:t>. Da questo punto di vista, il testo letterario può comportare il rinvio a situazioni di ordine personale, come ad esempio l’evocazione della tematica viatoria, la sua esperienza e la sua drammatizzazione attraverso l’atto della scrittura. D’altronde, le attestazioni dell’“altro”, di cui un’opera letteraria è inevitabilmente espressione, possono affiorare nelle maglie di una scrittura che reca i segni di una dimensione culturale e linguistica plurale, vissuta e fatta propria dallo scrittore e da questi restituita nel testo attraverso le dinamiche di un immaginario individuale e, spesso, collettivo: è in virtù di ciò che si proiettano e si fissano nel testo letture e modelli di pensiero attraverso i quali dialogano, più o meno facilmente, il sé e l’ “altro”, alimentando un’esperienza culturale trasposta nel testo letterario.</w:t>
      </w:r>
    </w:p>
    <w:p w14:paraId="189FCDBF" w14:textId="77777777" w:rsidR="009D6BD5" w:rsidRPr="009D6BD5" w:rsidRDefault="009D6BD5" w:rsidP="009D6BD5">
      <w:pPr>
        <w:numPr>
          <w:ilvl w:val="0"/>
          <w:numId w:val="1"/>
        </w:numPr>
        <w:shd w:val="clear" w:color="auto" w:fill="FFFFFF"/>
        <w:spacing w:before="100" w:beforeAutospacing="1" w:after="100" w:afterAutospacing="1" w:line="240" w:lineRule="auto"/>
        <w:ind w:left="840"/>
        <w:jc w:val="both"/>
        <w:rPr>
          <w:rFonts w:ascii="Arial" w:eastAsia="Times New Roman" w:hAnsi="Arial" w:cs="Arial"/>
          <w:color w:val="212529"/>
          <w:sz w:val="27"/>
          <w:szCs w:val="27"/>
        </w:rPr>
      </w:pPr>
      <w:proofErr w:type="spellStart"/>
      <w:r w:rsidRPr="009D6BD5">
        <w:rPr>
          <w:rFonts w:ascii="Georgia" w:eastAsia="Times New Roman" w:hAnsi="Georgia" w:cs="Times New Roman"/>
          <w:b/>
          <w:bCs/>
          <w:color w:val="212529"/>
          <w:sz w:val="24"/>
          <w:szCs w:val="24"/>
        </w:rPr>
        <w:t>Imagologia</w:t>
      </w:r>
      <w:proofErr w:type="spellEnd"/>
      <w:r w:rsidRPr="009D6BD5">
        <w:rPr>
          <w:rFonts w:ascii="Georgia" w:eastAsia="Times New Roman" w:hAnsi="Georgia" w:cs="Times New Roman"/>
          <w:color w:val="212529"/>
          <w:sz w:val="24"/>
          <w:szCs w:val="24"/>
        </w:rPr>
        <w:t xml:space="preserve">. Le immagini letterarie sono attori di assoluto rilievo nel processo di comunicazione del messaggio e di rappresentazione dell’alterità all’interno del testo letterario. Attraverso di esse si veicolano contenuti linguistici, sociali e culturali: la rappresentazione letteraria dell’“altro” “passa” molto attraverso il filtro di famiglie di immagini iconiche, verbali, inconsce, da quelle dei media a quelle ancor più diversificate del mondo della pubblicità, da quelle pittoriche e fotografiche a quelle verbali. Oggi le immagini alimentano immaginari nei quali la componente </w:t>
      </w:r>
      <w:proofErr w:type="spellStart"/>
      <w:r w:rsidRPr="009D6BD5">
        <w:rPr>
          <w:rFonts w:ascii="Georgia" w:eastAsia="Times New Roman" w:hAnsi="Georgia" w:cs="Times New Roman"/>
          <w:color w:val="212529"/>
          <w:sz w:val="24"/>
          <w:szCs w:val="24"/>
        </w:rPr>
        <w:t>scopica</w:t>
      </w:r>
      <w:proofErr w:type="spellEnd"/>
      <w:r w:rsidRPr="009D6BD5">
        <w:rPr>
          <w:rFonts w:ascii="Georgia" w:eastAsia="Times New Roman" w:hAnsi="Georgia" w:cs="Times New Roman"/>
          <w:color w:val="212529"/>
          <w:sz w:val="24"/>
          <w:szCs w:val="24"/>
        </w:rPr>
        <w:t xml:space="preserve"> si affianca a quella linguistica e a quella mentale fino a definire uno spazio privilegiato per la lettura e l’interpretazione della realtà che ci circonda: l’essere accompagnati da immagini che l’evoluzione nel campo delle tecnologie diversifica ulteriormente assegnando loro nuovi modi di esistenza e di contatto, determina in noi la tendenza a sviluppare il nostro pensiero proprio per immagini. (</w:t>
      </w:r>
      <w:proofErr w:type="spellStart"/>
      <w:r w:rsidRPr="009D6BD5">
        <w:rPr>
          <w:rFonts w:ascii="Georgia" w:eastAsia="Times New Roman" w:hAnsi="Georgia" w:cs="Times New Roman"/>
          <w:color w:val="212529"/>
          <w:sz w:val="24"/>
          <w:szCs w:val="24"/>
        </w:rPr>
        <w:t>Pageaux</w:t>
      </w:r>
      <w:proofErr w:type="spellEnd"/>
      <w:r w:rsidRPr="009D6BD5">
        <w:rPr>
          <w:rFonts w:ascii="Georgia" w:eastAsia="Times New Roman" w:hAnsi="Georgia" w:cs="Times New Roman"/>
          <w:color w:val="212529"/>
          <w:sz w:val="24"/>
          <w:szCs w:val="24"/>
        </w:rPr>
        <w:t>, 1994; Proietti, 2008).</w:t>
      </w:r>
    </w:p>
    <w:p w14:paraId="45A4E5F0" w14:textId="77777777" w:rsidR="009D6BD5" w:rsidRPr="009D6BD5" w:rsidRDefault="009D6BD5" w:rsidP="009D6BD5">
      <w:pPr>
        <w:shd w:val="clear" w:color="auto" w:fill="FFFFFF"/>
        <w:spacing w:after="100" w:afterAutospacing="1" w:line="360" w:lineRule="atLeast"/>
        <w:ind w:firstLine="709"/>
        <w:jc w:val="both"/>
        <w:rPr>
          <w:rFonts w:ascii="Arial" w:eastAsia="Times New Roman" w:hAnsi="Arial" w:cs="Arial"/>
          <w:color w:val="212529"/>
          <w:sz w:val="27"/>
          <w:szCs w:val="27"/>
        </w:rPr>
      </w:pPr>
      <w:r w:rsidRPr="009D6BD5">
        <w:rPr>
          <w:rFonts w:ascii="Arial" w:eastAsia="Times New Roman" w:hAnsi="Arial" w:cs="Arial"/>
          <w:color w:val="212529"/>
          <w:sz w:val="27"/>
          <w:szCs w:val="27"/>
        </w:rPr>
        <w:t> </w:t>
      </w:r>
    </w:p>
    <w:p w14:paraId="621601F3" w14:textId="77777777" w:rsidR="009D6BD5" w:rsidRPr="009D6BD5" w:rsidRDefault="009D6BD5" w:rsidP="009D6BD5">
      <w:pPr>
        <w:shd w:val="clear" w:color="auto" w:fill="FFFFFF"/>
        <w:spacing w:after="100" w:afterAutospacing="1" w:line="360" w:lineRule="atLeast"/>
        <w:ind w:firstLine="709"/>
        <w:jc w:val="both"/>
        <w:rPr>
          <w:rFonts w:ascii="Arial" w:eastAsia="Times New Roman" w:hAnsi="Arial" w:cs="Arial"/>
          <w:color w:val="212529"/>
          <w:sz w:val="27"/>
          <w:szCs w:val="27"/>
        </w:rPr>
      </w:pPr>
      <w:r w:rsidRPr="009D6BD5">
        <w:rPr>
          <w:rFonts w:ascii="Georgia" w:eastAsia="Times New Roman" w:hAnsi="Georgia" w:cs="Times New Roman"/>
          <w:color w:val="000000"/>
          <w:sz w:val="24"/>
          <w:szCs w:val="24"/>
          <w:shd w:val="clear" w:color="auto" w:fill="FFFFFF"/>
        </w:rPr>
        <w:t xml:space="preserve">Ognuno dei percorsi critici qui sinteticamente proposti conduce alla codificazione di meccanismi ideologici portanti per la costruzione di un sistema assiomatico a sua volta necessario per inquadrare complessivamente la ricezione dell’opera letteraria in una prospettiva culturale. Esso si fonda sull’ipotesi di agganciare questo modello ermeneutico allo stato delle “dinamiche di relazione” esistenti fra la produzione stessa dell’opera (dimensione autoriale) e l’insieme dei fenomeni che concorrono alla produzione dell’opera </w:t>
      </w:r>
      <w:r w:rsidRPr="009D6BD5">
        <w:rPr>
          <w:rFonts w:ascii="Georgia" w:eastAsia="Times New Roman" w:hAnsi="Georgia" w:cs="Times New Roman"/>
          <w:color w:val="000000"/>
          <w:sz w:val="24"/>
          <w:szCs w:val="24"/>
          <w:shd w:val="clear" w:color="auto" w:fill="FFFFFF"/>
        </w:rPr>
        <w:lastRenderedPageBreak/>
        <w:t xml:space="preserve">stessa e che, da quello statuto (ricettore, fruitore), esercitano un condizionamento o un orientamento sull’opera letteraria in termini morfologici, tematici, intermediali, </w:t>
      </w:r>
      <w:proofErr w:type="spellStart"/>
      <w:r w:rsidRPr="009D6BD5">
        <w:rPr>
          <w:rFonts w:ascii="Georgia" w:eastAsia="Times New Roman" w:hAnsi="Georgia" w:cs="Times New Roman"/>
          <w:color w:val="000000"/>
          <w:sz w:val="24"/>
          <w:szCs w:val="24"/>
          <w:shd w:val="clear" w:color="auto" w:fill="FFFFFF"/>
        </w:rPr>
        <w:t>interartistici</w:t>
      </w:r>
      <w:proofErr w:type="spellEnd"/>
      <w:r w:rsidRPr="009D6BD5">
        <w:rPr>
          <w:rFonts w:ascii="Georgia" w:eastAsia="Times New Roman" w:hAnsi="Georgia" w:cs="Times New Roman"/>
          <w:color w:val="000000"/>
          <w:sz w:val="24"/>
          <w:szCs w:val="24"/>
          <w:shd w:val="clear" w:color="auto" w:fill="FFFFFF"/>
        </w:rPr>
        <w:t>.</w:t>
      </w:r>
    </w:p>
    <w:p w14:paraId="0155B859" w14:textId="77777777" w:rsidR="009D6BD5" w:rsidRPr="009D6BD5" w:rsidRDefault="009D6BD5" w:rsidP="009D6BD5">
      <w:pPr>
        <w:shd w:val="clear" w:color="auto" w:fill="FFFFFF"/>
        <w:spacing w:after="100" w:afterAutospacing="1" w:line="360" w:lineRule="atLeast"/>
        <w:ind w:firstLine="709"/>
        <w:jc w:val="both"/>
        <w:rPr>
          <w:rFonts w:ascii="Arial" w:eastAsia="Times New Roman" w:hAnsi="Arial" w:cs="Arial"/>
          <w:color w:val="212529"/>
          <w:sz w:val="27"/>
          <w:szCs w:val="27"/>
        </w:rPr>
      </w:pPr>
      <w:r w:rsidRPr="009D6BD5">
        <w:rPr>
          <w:rFonts w:ascii="Georgia" w:eastAsia="Times New Roman" w:hAnsi="Georgia" w:cs="Times New Roman"/>
          <w:color w:val="000000"/>
          <w:sz w:val="24"/>
          <w:szCs w:val="24"/>
          <w:shd w:val="clear" w:color="auto" w:fill="FFFFFF"/>
        </w:rPr>
        <w:t>Attraverso questo numero dedicato, </w:t>
      </w:r>
      <w:proofErr w:type="spellStart"/>
      <w:r w:rsidRPr="009D6BD5">
        <w:rPr>
          <w:rFonts w:ascii="Georgia" w:eastAsia="Times New Roman" w:hAnsi="Georgia" w:cs="Times New Roman"/>
          <w:i/>
          <w:iCs/>
          <w:color w:val="000000"/>
          <w:sz w:val="24"/>
          <w:szCs w:val="24"/>
          <w:shd w:val="clear" w:color="auto" w:fill="FFFFFF"/>
        </w:rPr>
        <w:t>Interartes</w:t>
      </w:r>
      <w:proofErr w:type="spellEnd"/>
      <w:r w:rsidRPr="009D6BD5">
        <w:rPr>
          <w:rFonts w:ascii="Georgia" w:eastAsia="Times New Roman" w:hAnsi="Georgia" w:cs="Times New Roman"/>
          <w:i/>
          <w:iCs/>
          <w:color w:val="000000"/>
          <w:sz w:val="24"/>
          <w:szCs w:val="24"/>
          <w:shd w:val="clear" w:color="auto" w:fill="FFFFFF"/>
        </w:rPr>
        <w:t> </w:t>
      </w:r>
      <w:r w:rsidRPr="009D6BD5">
        <w:rPr>
          <w:rFonts w:ascii="Georgia" w:eastAsia="Times New Roman" w:hAnsi="Georgia" w:cs="Times New Roman"/>
          <w:color w:val="000000"/>
          <w:sz w:val="24"/>
          <w:szCs w:val="24"/>
          <w:shd w:val="clear" w:color="auto" w:fill="FFFFFF"/>
        </w:rPr>
        <w:t>vuole dunque sottolineare che l’analisi e l’interpretazione della dimensione “straniera” devono tenere conto di aspetti relazionali esistenti fra la cultura emittente e la cultura ricevente: senza l’adozione di questa prospettiva, lo studio della ricezione critica o letteraria, rischierebbe di confinarsi ad essere un’appendice della storia letteraria.</w:t>
      </w:r>
    </w:p>
    <w:p w14:paraId="508DE57B" w14:textId="77777777" w:rsidR="009D6BD5" w:rsidRPr="009D6BD5" w:rsidRDefault="009D6BD5" w:rsidP="009D6BD5">
      <w:pPr>
        <w:shd w:val="clear" w:color="auto" w:fill="FFFFFF"/>
        <w:spacing w:after="100" w:afterAutospacing="1" w:line="360" w:lineRule="atLeast"/>
        <w:ind w:firstLine="709"/>
        <w:jc w:val="both"/>
        <w:rPr>
          <w:rFonts w:ascii="Arial" w:eastAsia="Times New Roman" w:hAnsi="Arial" w:cs="Arial"/>
          <w:color w:val="212529"/>
          <w:sz w:val="27"/>
          <w:szCs w:val="27"/>
        </w:rPr>
      </w:pPr>
      <w:r w:rsidRPr="009D6BD5">
        <w:rPr>
          <w:rFonts w:ascii="Arial" w:eastAsia="Times New Roman" w:hAnsi="Arial" w:cs="Arial"/>
          <w:color w:val="212529"/>
          <w:sz w:val="27"/>
          <w:szCs w:val="27"/>
        </w:rPr>
        <w:t> </w:t>
      </w:r>
    </w:p>
    <w:p w14:paraId="6EA96D88" w14:textId="77777777" w:rsidR="009D6BD5" w:rsidRPr="009D6BD5" w:rsidRDefault="009D6BD5" w:rsidP="009D6BD5">
      <w:pPr>
        <w:shd w:val="clear" w:color="auto" w:fill="FFFFFF"/>
        <w:spacing w:after="100" w:afterAutospacing="1" w:line="360" w:lineRule="atLeast"/>
        <w:ind w:firstLine="709"/>
        <w:jc w:val="both"/>
        <w:rPr>
          <w:rFonts w:ascii="Arial" w:eastAsia="Times New Roman" w:hAnsi="Arial" w:cs="Arial"/>
          <w:color w:val="212529"/>
          <w:sz w:val="27"/>
          <w:szCs w:val="27"/>
        </w:rPr>
      </w:pPr>
      <w:r w:rsidRPr="009D6BD5">
        <w:rPr>
          <w:rFonts w:ascii="Arial" w:eastAsia="Times New Roman" w:hAnsi="Arial" w:cs="Arial"/>
          <w:color w:val="212529"/>
          <w:sz w:val="27"/>
          <w:szCs w:val="27"/>
        </w:rPr>
        <w:t> </w:t>
      </w:r>
    </w:p>
    <w:p w14:paraId="74DBFB81" w14:textId="77777777" w:rsidR="009D6BD5" w:rsidRPr="009D6BD5" w:rsidRDefault="009D6BD5" w:rsidP="009D6BD5">
      <w:pPr>
        <w:shd w:val="clear" w:color="auto" w:fill="FFFFFF"/>
        <w:spacing w:after="120" w:line="360" w:lineRule="atLeast"/>
        <w:ind w:firstLine="709"/>
        <w:jc w:val="both"/>
        <w:rPr>
          <w:rFonts w:ascii="Arial" w:eastAsia="Times New Roman" w:hAnsi="Arial" w:cs="Arial"/>
          <w:color w:val="212529"/>
          <w:sz w:val="27"/>
          <w:szCs w:val="27"/>
        </w:rPr>
      </w:pPr>
      <w:r w:rsidRPr="009D6BD5">
        <w:rPr>
          <w:rFonts w:ascii="Georgia" w:eastAsia="Times New Roman" w:hAnsi="Georgia" w:cs="Times New Roman"/>
          <w:b/>
          <w:bCs/>
          <w:color w:val="000000"/>
          <w:sz w:val="24"/>
          <w:szCs w:val="24"/>
        </w:rPr>
        <w:t>Modalità</w:t>
      </w:r>
    </w:p>
    <w:p w14:paraId="364C82DE" w14:textId="77777777" w:rsidR="009D6BD5" w:rsidRPr="009D6BD5" w:rsidRDefault="009D6BD5" w:rsidP="009D6BD5">
      <w:pPr>
        <w:shd w:val="clear" w:color="auto" w:fill="FFFFFF"/>
        <w:spacing w:after="120" w:line="360" w:lineRule="atLeast"/>
        <w:ind w:firstLine="709"/>
        <w:jc w:val="both"/>
        <w:rPr>
          <w:rFonts w:ascii="Arial" w:eastAsia="Times New Roman" w:hAnsi="Arial" w:cs="Arial"/>
          <w:color w:val="212529"/>
          <w:sz w:val="27"/>
          <w:szCs w:val="27"/>
        </w:rPr>
      </w:pPr>
      <w:r w:rsidRPr="009D6BD5">
        <w:rPr>
          <w:rFonts w:ascii="Georgia" w:eastAsia="Times New Roman" w:hAnsi="Georgia" w:cs="Times New Roman"/>
          <w:color w:val="000000"/>
          <w:sz w:val="24"/>
          <w:szCs w:val="24"/>
        </w:rPr>
        <w:t>I testi proposti, che avranno un impianto teorico, metodologico o analitico con premesse teoriche, devono essere inediti e redatti in word, nel rispetto delle </w:t>
      </w:r>
      <w:hyperlink r:id="rId5" w:history="1">
        <w:r w:rsidRPr="009D6BD5">
          <w:rPr>
            <w:rFonts w:ascii="Georgia" w:eastAsia="Times New Roman" w:hAnsi="Georgia" w:cs="Times New Roman"/>
            <w:color w:val="467886"/>
            <w:sz w:val="24"/>
            <w:szCs w:val="24"/>
            <w:u w:val="single"/>
          </w:rPr>
          <w:t>norme editoriali della rivista</w:t>
        </w:r>
      </w:hyperlink>
      <w:r w:rsidRPr="009D6BD5">
        <w:rPr>
          <w:rFonts w:ascii="Georgia" w:eastAsia="Times New Roman" w:hAnsi="Georgia" w:cs="Times New Roman"/>
          <w:color w:val="000000"/>
          <w:sz w:val="24"/>
          <w:szCs w:val="24"/>
        </w:rPr>
        <w:t>, pubblicate sul sito e saranno sottoposti a valutazione in doppio cieco.</w:t>
      </w:r>
    </w:p>
    <w:p w14:paraId="304553FE" w14:textId="77777777" w:rsidR="009D6BD5" w:rsidRPr="009D6BD5" w:rsidRDefault="009D6BD5" w:rsidP="009D6BD5">
      <w:pPr>
        <w:shd w:val="clear" w:color="auto" w:fill="FFFFFF"/>
        <w:spacing w:after="120" w:line="360" w:lineRule="atLeast"/>
        <w:ind w:firstLine="709"/>
        <w:jc w:val="both"/>
        <w:rPr>
          <w:rFonts w:ascii="Arial" w:eastAsia="Times New Roman" w:hAnsi="Arial" w:cs="Arial"/>
          <w:color w:val="212529"/>
          <w:sz w:val="27"/>
          <w:szCs w:val="27"/>
        </w:rPr>
      </w:pPr>
      <w:r w:rsidRPr="009D6BD5">
        <w:rPr>
          <w:rFonts w:ascii="Georgia" w:eastAsia="Times New Roman" w:hAnsi="Georgia" w:cs="Times New Roman"/>
          <w:color w:val="000000"/>
          <w:sz w:val="24"/>
          <w:szCs w:val="24"/>
        </w:rPr>
        <w:t>Lingue accettate: italiano, inglese, francese, tedesco, spagnolo.</w:t>
      </w:r>
    </w:p>
    <w:p w14:paraId="6EB40CD7" w14:textId="77777777" w:rsidR="009D6BD5" w:rsidRPr="009D6BD5" w:rsidRDefault="009D6BD5" w:rsidP="009D6BD5">
      <w:pPr>
        <w:shd w:val="clear" w:color="auto" w:fill="FFFFFF"/>
        <w:spacing w:after="120" w:line="360" w:lineRule="atLeast"/>
        <w:ind w:firstLine="709"/>
        <w:jc w:val="both"/>
        <w:rPr>
          <w:rFonts w:ascii="Arial" w:eastAsia="Times New Roman" w:hAnsi="Arial" w:cs="Arial"/>
          <w:color w:val="212529"/>
          <w:sz w:val="27"/>
          <w:szCs w:val="27"/>
        </w:rPr>
      </w:pPr>
      <w:r w:rsidRPr="009D6BD5">
        <w:rPr>
          <w:rFonts w:ascii="Georgia" w:eastAsia="Times New Roman" w:hAnsi="Georgia" w:cs="Times New Roman"/>
          <w:color w:val="000000"/>
          <w:sz w:val="24"/>
          <w:szCs w:val="24"/>
        </w:rPr>
        <w:t xml:space="preserve">Gli articoli vanno inviati, accompagnati da una breve notizia </w:t>
      </w:r>
      <w:proofErr w:type="spellStart"/>
      <w:r w:rsidRPr="009D6BD5">
        <w:rPr>
          <w:rFonts w:ascii="Georgia" w:eastAsia="Times New Roman" w:hAnsi="Georgia" w:cs="Times New Roman"/>
          <w:color w:val="000000"/>
          <w:sz w:val="24"/>
          <w:szCs w:val="24"/>
        </w:rPr>
        <w:t>bio</w:t>
      </w:r>
      <w:proofErr w:type="spellEnd"/>
      <w:r w:rsidRPr="009D6BD5">
        <w:rPr>
          <w:rFonts w:ascii="Georgia" w:eastAsia="Times New Roman" w:hAnsi="Georgia" w:cs="Times New Roman"/>
          <w:color w:val="000000"/>
          <w:sz w:val="24"/>
          <w:szCs w:val="24"/>
        </w:rPr>
        <w:t>-bibliografica e da un abstract in lingua inglese, entro il </w:t>
      </w:r>
      <w:r w:rsidRPr="009D6BD5">
        <w:rPr>
          <w:rFonts w:ascii="Georgia" w:eastAsia="Times New Roman" w:hAnsi="Georgia" w:cs="Times New Roman"/>
          <w:b/>
          <w:bCs/>
          <w:color w:val="000000"/>
          <w:sz w:val="24"/>
          <w:szCs w:val="24"/>
        </w:rPr>
        <w:t>30 luglio 2026</w:t>
      </w:r>
      <w:r w:rsidRPr="009D6BD5">
        <w:rPr>
          <w:rFonts w:ascii="Georgia" w:eastAsia="Times New Roman" w:hAnsi="Georgia" w:cs="Times New Roman"/>
          <w:color w:val="000000"/>
          <w:sz w:val="24"/>
          <w:szCs w:val="24"/>
        </w:rPr>
        <w:t> all’indirizzo: </w:t>
      </w:r>
      <w:hyperlink r:id="rId6" w:history="1">
        <w:r w:rsidRPr="009D6BD5">
          <w:rPr>
            <w:rFonts w:ascii="Georgia" w:eastAsia="Times New Roman" w:hAnsi="Georgia" w:cs="Times New Roman"/>
            <w:b/>
            <w:bCs/>
            <w:color w:val="467886"/>
            <w:sz w:val="24"/>
            <w:szCs w:val="24"/>
            <w:u w:val="single"/>
          </w:rPr>
          <w:t>interartes@iulm.it</w:t>
        </w:r>
      </w:hyperlink>
      <w:r w:rsidRPr="009D6BD5">
        <w:rPr>
          <w:rFonts w:ascii="Times New Roman" w:eastAsia="Times New Roman" w:hAnsi="Times New Roman" w:cs="Times New Roman"/>
          <w:color w:val="212529"/>
          <w:sz w:val="24"/>
          <w:szCs w:val="24"/>
        </w:rPr>
        <w:t>.</w:t>
      </w:r>
    </w:p>
    <w:p w14:paraId="0C5D7E95" w14:textId="77777777" w:rsidR="009D6BD5" w:rsidRPr="009D6BD5" w:rsidRDefault="009D6BD5" w:rsidP="009D6BD5">
      <w:pPr>
        <w:shd w:val="clear" w:color="auto" w:fill="FFFFFF"/>
        <w:spacing w:after="120" w:line="360" w:lineRule="atLeast"/>
        <w:ind w:firstLine="709"/>
        <w:jc w:val="both"/>
        <w:rPr>
          <w:rFonts w:ascii="Arial" w:eastAsia="Times New Roman" w:hAnsi="Arial" w:cs="Arial"/>
          <w:color w:val="212529"/>
          <w:sz w:val="27"/>
          <w:szCs w:val="27"/>
        </w:rPr>
      </w:pPr>
      <w:r w:rsidRPr="009D6BD5">
        <w:rPr>
          <w:rFonts w:ascii="Georgia" w:eastAsia="Times New Roman" w:hAnsi="Georgia" w:cs="Times New Roman"/>
          <w:color w:val="000000"/>
          <w:sz w:val="24"/>
          <w:szCs w:val="24"/>
        </w:rPr>
        <w:t>Il numero, curato dal Prof. Paolo Proietti, verrà pubblicato nel mese dicembre 2026.</w:t>
      </w:r>
    </w:p>
    <w:p w14:paraId="79CDD1F3" w14:textId="77777777" w:rsidR="009D6BD5" w:rsidRPr="009D6BD5" w:rsidRDefault="009D6BD5" w:rsidP="009D6BD5">
      <w:pPr>
        <w:shd w:val="clear" w:color="auto" w:fill="FFFFFF"/>
        <w:spacing w:after="120" w:line="360" w:lineRule="atLeast"/>
        <w:ind w:firstLine="709"/>
        <w:jc w:val="both"/>
        <w:rPr>
          <w:rFonts w:ascii="Arial" w:eastAsia="Times New Roman" w:hAnsi="Arial" w:cs="Arial"/>
          <w:color w:val="212529"/>
          <w:sz w:val="27"/>
          <w:szCs w:val="27"/>
        </w:rPr>
      </w:pPr>
      <w:r w:rsidRPr="009D6BD5">
        <w:rPr>
          <w:rFonts w:ascii="Arial" w:eastAsia="Times New Roman" w:hAnsi="Arial" w:cs="Arial"/>
          <w:color w:val="212529"/>
          <w:sz w:val="27"/>
          <w:szCs w:val="27"/>
        </w:rPr>
        <w:t> </w:t>
      </w:r>
    </w:p>
    <w:p w14:paraId="67FC3D7A" w14:textId="77777777" w:rsidR="009D6BD5" w:rsidRPr="009D6BD5" w:rsidRDefault="009D6BD5" w:rsidP="009D6BD5">
      <w:pPr>
        <w:shd w:val="clear" w:color="auto" w:fill="FFFFFF"/>
        <w:spacing w:after="120" w:line="360" w:lineRule="atLeast"/>
        <w:ind w:firstLine="709"/>
        <w:jc w:val="both"/>
        <w:rPr>
          <w:rFonts w:ascii="Arial" w:eastAsia="Times New Roman" w:hAnsi="Arial" w:cs="Arial"/>
          <w:color w:val="212529"/>
          <w:sz w:val="27"/>
          <w:szCs w:val="27"/>
        </w:rPr>
      </w:pPr>
      <w:r w:rsidRPr="009D6BD5">
        <w:rPr>
          <w:rFonts w:ascii="Arial" w:eastAsia="Times New Roman" w:hAnsi="Arial" w:cs="Arial"/>
          <w:color w:val="212529"/>
          <w:sz w:val="27"/>
          <w:szCs w:val="27"/>
        </w:rPr>
        <w:t> </w:t>
      </w:r>
    </w:p>
    <w:p w14:paraId="52CF683B" w14:textId="77777777" w:rsidR="009D6BD5" w:rsidRPr="009D6BD5" w:rsidRDefault="009D6BD5" w:rsidP="009D6BD5">
      <w:pPr>
        <w:shd w:val="clear" w:color="auto" w:fill="FFFFFF"/>
        <w:spacing w:after="120" w:line="360" w:lineRule="atLeast"/>
        <w:ind w:firstLine="709"/>
        <w:jc w:val="both"/>
        <w:rPr>
          <w:rFonts w:ascii="Arial" w:eastAsia="Times New Roman" w:hAnsi="Arial" w:cs="Arial"/>
          <w:color w:val="212529"/>
          <w:sz w:val="27"/>
          <w:szCs w:val="27"/>
          <w:lang w:val="en-GB"/>
        </w:rPr>
      </w:pPr>
      <w:proofErr w:type="spellStart"/>
      <w:r w:rsidRPr="009D6BD5">
        <w:rPr>
          <w:rFonts w:ascii="Georgia" w:eastAsia="Times New Roman" w:hAnsi="Georgia" w:cs="Times New Roman"/>
          <w:b/>
          <w:bCs/>
          <w:color w:val="000000"/>
          <w:sz w:val="24"/>
          <w:szCs w:val="24"/>
          <w:lang w:val="en-US"/>
        </w:rPr>
        <w:t>Bibliografia</w:t>
      </w:r>
      <w:proofErr w:type="spellEnd"/>
      <w:r w:rsidRPr="009D6BD5">
        <w:rPr>
          <w:rFonts w:ascii="Georgia" w:eastAsia="Times New Roman" w:hAnsi="Georgia" w:cs="Times New Roman"/>
          <w:b/>
          <w:bCs/>
          <w:color w:val="000000"/>
          <w:sz w:val="24"/>
          <w:szCs w:val="24"/>
          <w:lang w:val="en-US"/>
        </w:rPr>
        <w:t xml:space="preserve"> </w:t>
      </w:r>
      <w:proofErr w:type="spellStart"/>
      <w:r w:rsidRPr="009D6BD5">
        <w:rPr>
          <w:rFonts w:ascii="Georgia" w:eastAsia="Times New Roman" w:hAnsi="Georgia" w:cs="Times New Roman"/>
          <w:b/>
          <w:bCs/>
          <w:color w:val="000000"/>
          <w:sz w:val="24"/>
          <w:szCs w:val="24"/>
          <w:lang w:val="en-US"/>
        </w:rPr>
        <w:t>essenziale</w:t>
      </w:r>
      <w:proofErr w:type="spellEnd"/>
      <w:r w:rsidRPr="009D6BD5">
        <w:rPr>
          <w:rFonts w:ascii="Georgia" w:eastAsia="Times New Roman" w:hAnsi="Georgia" w:cs="Times New Roman"/>
          <w:b/>
          <w:bCs/>
          <w:color w:val="000000"/>
          <w:sz w:val="24"/>
          <w:szCs w:val="24"/>
          <w:lang w:val="en-US"/>
        </w:rPr>
        <w:t xml:space="preserve"> di </w:t>
      </w:r>
      <w:proofErr w:type="spellStart"/>
      <w:r w:rsidRPr="009D6BD5">
        <w:rPr>
          <w:rFonts w:ascii="Georgia" w:eastAsia="Times New Roman" w:hAnsi="Georgia" w:cs="Times New Roman"/>
          <w:b/>
          <w:bCs/>
          <w:color w:val="000000"/>
          <w:sz w:val="24"/>
          <w:szCs w:val="24"/>
          <w:lang w:val="en-US"/>
        </w:rPr>
        <w:t>riferimento</w:t>
      </w:r>
      <w:proofErr w:type="spellEnd"/>
      <w:r w:rsidRPr="009D6BD5">
        <w:rPr>
          <w:rFonts w:ascii="Georgia" w:eastAsia="Times New Roman" w:hAnsi="Georgia" w:cs="Times New Roman"/>
          <w:b/>
          <w:bCs/>
          <w:color w:val="000000"/>
          <w:sz w:val="24"/>
          <w:szCs w:val="24"/>
          <w:lang w:val="en-US"/>
        </w:rPr>
        <w:t>:</w:t>
      </w:r>
    </w:p>
    <w:p w14:paraId="79DE8362" w14:textId="77777777" w:rsidR="009D6BD5" w:rsidRPr="009D6BD5" w:rsidRDefault="009D6BD5" w:rsidP="009D6BD5">
      <w:pPr>
        <w:shd w:val="clear" w:color="auto" w:fill="FFFFFF"/>
        <w:spacing w:before="120" w:after="100" w:afterAutospacing="1" w:line="360" w:lineRule="atLeast"/>
        <w:ind w:left="705" w:hanging="709"/>
        <w:jc w:val="both"/>
        <w:rPr>
          <w:rFonts w:ascii="Arial" w:eastAsia="Times New Roman" w:hAnsi="Arial" w:cs="Arial"/>
          <w:color w:val="212529"/>
          <w:sz w:val="27"/>
          <w:szCs w:val="27"/>
          <w:lang w:val="en-GB"/>
        </w:rPr>
      </w:pPr>
      <w:r w:rsidRPr="009D6BD5">
        <w:rPr>
          <w:rFonts w:ascii="Georgia" w:eastAsia="Times New Roman" w:hAnsi="Georgia" w:cs="Times New Roman"/>
          <w:smallCaps/>
          <w:color w:val="212529"/>
          <w:sz w:val="24"/>
          <w:szCs w:val="24"/>
          <w:lang w:val="en-US"/>
        </w:rPr>
        <w:t>Even-Zohar</w:t>
      </w:r>
      <w:r w:rsidRPr="009D6BD5">
        <w:rPr>
          <w:rFonts w:ascii="Georgia" w:eastAsia="Times New Roman" w:hAnsi="Georgia" w:cs="Times New Roman"/>
          <w:color w:val="212529"/>
          <w:sz w:val="24"/>
          <w:szCs w:val="24"/>
          <w:lang w:val="en-US"/>
        </w:rPr>
        <w:t> I. (1978), </w:t>
      </w:r>
      <w:r w:rsidRPr="009D6BD5">
        <w:rPr>
          <w:rFonts w:ascii="Georgia" w:eastAsia="Times New Roman" w:hAnsi="Georgia" w:cs="Times New Roman"/>
          <w:i/>
          <w:iCs/>
          <w:color w:val="212529"/>
          <w:sz w:val="24"/>
          <w:szCs w:val="24"/>
          <w:lang w:val="en-US"/>
        </w:rPr>
        <w:t xml:space="preserve">The Position of Translated Literature within the Literary </w:t>
      </w:r>
      <w:proofErr w:type="spellStart"/>
      <w:r w:rsidRPr="009D6BD5">
        <w:rPr>
          <w:rFonts w:ascii="Georgia" w:eastAsia="Times New Roman" w:hAnsi="Georgia" w:cs="Times New Roman"/>
          <w:i/>
          <w:iCs/>
          <w:color w:val="212529"/>
          <w:sz w:val="24"/>
          <w:szCs w:val="24"/>
          <w:lang w:val="en-US"/>
        </w:rPr>
        <w:t>Polysystem</w:t>
      </w:r>
      <w:proofErr w:type="spellEnd"/>
      <w:r w:rsidRPr="009D6BD5">
        <w:rPr>
          <w:rFonts w:ascii="Georgia" w:eastAsia="Times New Roman" w:hAnsi="Georgia" w:cs="Times New Roman"/>
          <w:color w:val="212529"/>
          <w:sz w:val="24"/>
          <w:szCs w:val="24"/>
          <w:lang w:val="en-US"/>
        </w:rPr>
        <w:t>, in Even- Zohar I., </w:t>
      </w:r>
      <w:r w:rsidRPr="009D6BD5">
        <w:rPr>
          <w:rFonts w:ascii="Georgia" w:eastAsia="Times New Roman" w:hAnsi="Georgia" w:cs="Times New Roman"/>
          <w:i/>
          <w:iCs/>
          <w:color w:val="212529"/>
          <w:sz w:val="24"/>
          <w:szCs w:val="24"/>
          <w:lang w:val="en-US"/>
        </w:rPr>
        <w:t>Papers in Historical Poetics</w:t>
      </w:r>
      <w:r w:rsidRPr="009D6BD5">
        <w:rPr>
          <w:rFonts w:ascii="Georgia" w:eastAsia="Times New Roman" w:hAnsi="Georgia" w:cs="Times New Roman"/>
          <w:color w:val="212529"/>
          <w:sz w:val="24"/>
          <w:szCs w:val="24"/>
          <w:lang w:val="en-US"/>
        </w:rPr>
        <w:t>, </w:t>
      </w:r>
      <w:r w:rsidRPr="009D6BD5">
        <w:rPr>
          <w:rFonts w:ascii="Georgia" w:eastAsia="Times New Roman" w:hAnsi="Georgia" w:cs="Times New Roman"/>
          <w:color w:val="0F1111"/>
          <w:sz w:val="24"/>
          <w:szCs w:val="24"/>
          <w:shd w:val="clear" w:color="auto" w:fill="FFFFFF"/>
          <w:lang w:val="en-US"/>
        </w:rPr>
        <w:t>Porter Institute for Poetics and Semiotics, Tel Aviv.</w:t>
      </w:r>
    </w:p>
    <w:p w14:paraId="686352A4" w14:textId="77777777" w:rsidR="009D6BD5" w:rsidRPr="009D6BD5" w:rsidRDefault="009D6BD5" w:rsidP="009D6BD5">
      <w:pPr>
        <w:shd w:val="clear" w:color="auto" w:fill="FFFFFF"/>
        <w:spacing w:before="120" w:after="100" w:afterAutospacing="1" w:line="360" w:lineRule="atLeast"/>
        <w:ind w:left="705" w:hanging="709"/>
        <w:rPr>
          <w:rFonts w:ascii="Arial" w:eastAsia="Times New Roman" w:hAnsi="Arial" w:cs="Arial"/>
          <w:color w:val="212529"/>
          <w:sz w:val="27"/>
          <w:szCs w:val="27"/>
          <w:lang w:val="en-GB"/>
        </w:rPr>
      </w:pPr>
      <w:r w:rsidRPr="009D6BD5">
        <w:rPr>
          <w:rFonts w:ascii="Georgia" w:eastAsia="Times New Roman" w:hAnsi="Georgia" w:cs="Times New Roman"/>
          <w:smallCaps/>
          <w:color w:val="212529"/>
          <w:sz w:val="24"/>
          <w:szCs w:val="24"/>
          <w:lang w:val="en-US"/>
        </w:rPr>
        <w:t>Freeman</w:t>
      </w:r>
      <w:r w:rsidRPr="009D6BD5">
        <w:rPr>
          <w:rFonts w:ascii="Georgia" w:eastAsia="Times New Roman" w:hAnsi="Georgia" w:cs="Times New Roman"/>
          <w:color w:val="212529"/>
          <w:sz w:val="24"/>
          <w:szCs w:val="24"/>
          <w:lang w:val="en-US"/>
        </w:rPr>
        <w:t> M.,  </w:t>
      </w:r>
      <w:proofErr w:type="spellStart"/>
      <w:r w:rsidRPr="009D6BD5">
        <w:rPr>
          <w:rFonts w:ascii="Georgia" w:eastAsia="Times New Roman" w:hAnsi="Georgia" w:cs="Times New Roman"/>
          <w:smallCaps/>
          <w:color w:val="212529"/>
          <w:sz w:val="24"/>
          <w:szCs w:val="24"/>
          <w:lang w:val="en-US"/>
        </w:rPr>
        <w:t>Rampazzo</w:t>
      </w:r>
      <w:proofErr w:type="spellEnd"/>
      <w:r w:rsidRPr="009D6BD5">
        <w:rPr>
          <w:rFonts w:ascii="Times New Roman" w:eastAsia="Times New Roman" w:hAnsi="Times New Roman" w:cs="Times New Roman"/>
          <w:color w:val="212529"/>
          <w:sz w:val="24"/>
          <w:szCs w:val="24"/>
          <w:lang w:val="en-GB"/>
        </w:rPr>
        <w:t> </w:t>
      </w:r>
      <w:proofErr w:type="spellStart"/>
      <w:r w:rsidRPr="009D6BD5">
        <w:rPr>
          <w:rFonts w:ascii="Georgia" w:eastAsia="Times New Roman" w:hAnsi="Georgia" w:cs="Times New Roman"/>
          <w:smallCaps/>
          <w:color w:val="212529"/>
          <w:sz w:val="24"/>
          <w:szCs w:val="24"/>
          <w:lang w:val="en-US"/>
        </w:rPr>
        <w:t>Gambarato</w:t>
      </w:r>
      <w:proofErr w:type="spellEnd"/>
      <w:r w:rsidRPr="009D6BD5">
        <w:rPr>
          <w:rFonts w:ascii="Georgia" w:eastAsia="Times New Roman" w:hAnsi="Georgia" w:cs="Times New Roman"/>
          <w:color w:val="212529"/>
          <w:sz w:val="24"/>
          <w:szCs w:val="24"/>
          <w:lang w:val="en-US"/>
        </w:rPr>
        <w:t> R. (eds.) (2018), </w:t>
      </w:r>
      <w:r w:rsidRPr="009D6BD5">
        <w:rPr>
          <w:rFonts w:ascii="Georgia" w:eastAsia="Times New Roman" w:hAnsi="Georgia" w:cs="Times New Roman"/>
          <w:i/>
          <w:iCs/>
          <w:color w:val="0F1111"/>
          <w:sz w:val="24"/>
          <w:szCs w:val="24"/>
          <w:lang w:val="en-US"/>
        </w:rPr>
        <w:t>The Routledge Companion to Transmedia Studies</w:t>
      </w:r>
      <w:r w:rsidRPr="009D6BD5">
        <w:rPr>
          <w:rFonts w:ascii="Georgia" w:eastAsia="Times New Roman" w:hAnsi="Georgia" w:cs="Times New Roman"/>
          <w:color w:val="0F1111"/>
          <w:sz w:val="24"/>
          <w:szCs w:val="24"/>
          <w:lang w:val="en-US"/>
        </w:rPr>
        <w:t>, Routledge, London.</w:t>
      </w:r>
    </w:p>
    <w:p w14:paraId="45664A26" w14:textId="77777777" w:rsidR="009D6BD5" w:rsidRPr="009D6BD5" w:rsidRDefault="009D6BD5" w:rsidP="009D6BD5">
      <w:pPr>
        <w:shd w:val="clear" w:color="auto" w:fill="FFFFFF"/>
        <w:spacing w:before="120" w:after="100" w:afterAutospacing="1" w:line="360" w:lineRule="atLeast"/>
        <w:ind w:left="705" w:hanging="709"/>
        <w:rPr>
          <w:rFonts w:ascii="Arial" w:eastAsia="Times New Roman" w:hAnsi="Arial" w:cs="Arial"/>
          <w:color w:val="212529"/>
          <w:sz w:val="27"/>
          <w:szCs w:val="27"/>
        </w:rPr>
      </w:pPr>
      <w:r w:rsidRPr="009D6BD5">
        <w:rPr>
          <w:rFonts w:ascii="Georgia" w:eastAsia="Times New Roman" w:hAnsi="Georgia" w:cs="Times New Roman"/>
          <w:smallCaps/>
          <w:color w:val="212529"/>
          <w:sz w:val="24"/>
          <w:szCs w:val="24"/>
        </w:rPr>
        <w:t>Fusillo</w:t>
      </w:r>
      <w:r w:rsidRPr="009D6BD5">
        <w:rPr>
          <w:rFonts w:ascii="Georgia" w:eastAsia="Times New Roman" w:hAnsi="Georgia" w:cs="Times New Roman"/>
          <w:color w:val="212529"/>
          <w:sz w:val="24"/>
          <w:szCs w:val="24"/>
        </w:rPr>
        <w:t> M., Lino M., </w:t>
      </w:r>
      <w:proofErr w:type="spellStart"/>
      <w:r w:rsidRPr="009D6BD5">
        <w:rPr>
          <w:rFonts w:ascii="Georgia" w:eastAsia="Times New Roman" w:hAnsi="Georgia" w:cs="Times New Roman"/>
          <w:smallCaps/>
          <w:color w:val="212529"/>
          <w:sz w:val="24"/>
          <w:szCs w:val="24"/>
        </w:rPr>
        <w:t>Faienza</w:t>
      </w:r>
      <w:proofErr w:type="spellEnd"/>
      <w:r w:rsidRPr="009D6BD5">
        <w:rPr>
          <w:rFonts w:ascii="Georgia" w:eastAsia="Times New Roman" w:hAnsi="Georgia" w:cs="Times New Roman"/>
          <w:color w:val="212529"/>
          <w:sz w:val="24"/>
          <w:szCs w:val="24"/>
        </w:rPr>
        <w:t> L., </w:t>
      </w:r>
      <w:r w:rsidRPr="009D6BD5">
        <w:rPr>
          <w:rFonts w:ascii="Georgia" w:eastAsia="Times New Roman" w:hAnsi="Georgia" w:cs="Times New Roman"/>
          <w:smallCaps/>
          <w:color w:val="212529"/>
          <w:sz w:val="24"/>
          <w:szCs w:val="24"/>
        </w:rPr>
        <w:t>Marchese</w:t>
      </w:r>
      <w:r w:rsidRPr="009D6BD5">
        <w:rPr>
          <w:rFonts w:ascii="Georgia" w:eastAsia="Times New Roman" w:hAnsi="Georgia" w:cs="Times New Roman"/>
          <w:color w:val="212529"/>
          <w:sz w:val="24"/>
          <w:szCs w:val="24"/>
        </w:rPr>
        <w:t> L. (</w:t>
      </w:r>
      <w:proofErr w:type="spellStart"/>
      <w:r w:rsidRPr="009D6BD5">
        <w:rPr>
          <w:rFonts w:ascii="Georgia" w:eastAsia="Times New Roman" w:hAnsi="Georgia" w:cs="Times New Roman"/>
          <w:color w:val="212529"/>
          <w:sz w:val="24"/>
          <w:szCs w:val="24"/>
        </w:rPr>
        <w:t>eds</w:t>
      </w:r>
      <w:proofErr w:type="spellEnd"/>
      <w:r w:rsidRPr="009D6BD5">
        <w:rPr>
          <w:rFonts w:ascii="Georgia" w:eastAsia="Times New Roman" w:hAnsi="Georgia" w:cs="Times New Roman"/>
          <w:color w:val="212529"/>
          <w:sz w:val="24"/>
          <w:szCs w:val="24"/>
        </w:rPr>
        <w:t>) (2021), </w:t>
      </w:r>
      <w:r w:rsidRPr="009D6BD5">
        <w:rPr>
          <w:rFonts w:ascii="Georgia" w:eastAsia="Times New Roman" w:hAnsi="Georgia" w:cs="Times New Roman"/>
          <w:i/>
          <w:iCs/>
          <w:color w:val="212529"/>
          <w:sz w:val="24"/>
          <w:szCs w:val="24"/>
        </w:rPr>
        <w:t xml:space="preserve">Oltre l’adattamento? Narrazioni espanse: </w:t>
      </w:r>
      <w:proofErr w:type="spellStart"/>
      <w:r w:rsidRPr="009D6BD5">
        <w:rPr>
          <w:rFonts w:ascii="Georgia" w:eastAsia="Times New Roman" w:hAnsi="Georgia" w:cs="Times New Roman"/>
          <w:i/>
          <w:iCs/>
          <w:color w:val="212529"/>
          <w:sz w:val="24"/>
          <w:szCs w:val="24"/>
        </w:rPr>
        <w:t>intermedialità</w:t>
      </w:r>
      <w:proofErr w:type="spellEnd"/>
      <w:r w:rsidRPr="009D6BD5">
        <w:rPr>
          <w:rFonts w:ascii="Georgia" w:eastAsia="Times New Roman" w:hAnsi="Georgia" w:cs="Times New Roman"/>
          <w:i/>
          <w:iCs/>
          <w:color w:val="212529"/>
          <w:sz w:val="24"/>
          <w:szCs w:val="24"/>
        </w:rPr>
        <w:t xml:space="preserve">, </w:t>
      </w:r>
      <w:proofErr w:type="spellStart"/>
      <w:r w:rsidRPr="009D6BD5">
        <w:rPr>
          <w:rFonts w:ascii="Georgia" w:eastAsia="Times New Roman" w:hAnsi="Georgia" w:cs="Times New Roman"/>
          <w:i/>
          <w:iCs/>
          <w:color w:val="212529"/>
          <w:sz w:val="24"/>
          <w:szCs w:val="24"/>
        </w:rPr>
        <w:t>transmedialità</w:t>
      </w:r>
      <w:proofErr w:type="spellEnd"/>
      <w:r w:rsidRPr="009D6BD5">
        <w:rPr>
          <w:rFonts w:ascii="Georgia" w:eastAsia="Times New Roman" w:hAnsi="Georgia" w:cs="Times New Roman"/>
          <w:i/>
          <w:iCs/>
          <w:color w:val="212529"/>
          <w:sz w:val="24"/>
          <w:szCs w:val="24"/>
        </w:rPr>
        <w:t>, virtualità</w:t>
      </w:r>
      <w:r w:rsidRPr="009D6BD5">
        <w:rPr>
          <w:rFonts w:ascii="Georgia" w:eastAsia="Times New Roman" w:hAnsi="Georgia" w:cs="Times New Roman"/>
          <w:color w:val="212529"/>
          <w:sz w:val="24"/>
          <w:szCs w:val="24"/>
        </w:rPr>
        <w:t>, il Mulino, Bologna.</w:t>
      </w:r>
    </w:p>
    <w:p w14:paraId="00377537" w14:textId="77777777" w:rsidR="009D6BD5" w:rsidRPr="009D6BD5" w:rsidRDefault="009D6BD5" w:rsidP="009D6BD5">
      <w:pPr>
        <w:shd w:val="clear" w:color="auto" w:fill="FFFFFF"/>
        <w:spacing w:before="120" w:after="100" w:afterAutospacing="1" w:line="360" w:lineRule="atLeast"/>
        <w:ind w:left="705" w:hanging="709"/>
        <w:rPr>
          <w:rFonts w:ascii="Arial" w:eastAsia="Times New Roman" w:hAnsi="Arial" w:cs="Arial"/>
          <w:color w:val="212529"/>
          <w:sz w:val="27"/>
          <w:szCs w:val="27"/>
        </w:rPr>
      </w:pPr>
      <w:r w:rsidRPr="009D6BD5">
        <w:rPr>
          <w:rFonts w:ascii="Georgia" w:eastAsia="Times New Roman" w:hAnsi="Georgia" w:cs="Times New Roman"/>
          <w:smallCaps/>
          <w:color w:val="212529"/>
          <w:sz w:val="24"/>
          <w:szCs w:val="24"/>
        </w:rPr>
        <w:t>Proietti</w:t>
      </w:r>
      <w:r w:rsidRPr="009D6BD5">
        <w:rPr>
          <w:rFonts w:ascii="Georgia" w:eastAsia="Times New Roman" w:hAnsi="Georgia" w:cs="Times New Roman"/>
          <w:color w:val="212529"/>
          <w:sz w:val="24"/>
          <w:szCs w:val="24"/>
        </w:rPr>
        <w:t>, P. (2008), </w:t>
      </w:r>
      <w:r w:rsidRPr="009D6BD5">
        <w:rPr>
          <w:rFonts w:ascii="Georgia" w:eastAsia="Times New Roman" w:hAnsi="Georgia" w:cs="Times New Roman"/>
          <w:i/>
          <w:iCs/>
          <w:color w:val="212529"/>
          <w:sz w:val="24"/>
          <w:szCs w:val="24"/>
        </w:rPr>
        <w:t>Specchi del letterario: l’</w:t>
      </w:r>
      <w:proofErr w:type="spellStart"/>
      <w:r w:rsidRPr="009D6BD5">
        <w:rPr>
          <w:rFonts w:ascii="Georgia" w:eastAsia="Times New Roman" w:hAnsi="Georgia" w:cs="Times New Roman"/>
          <w:i/>
          <w:iCs/>
          <w:color w:val="212529"/>
          <w:sz w:val="24"/>
          <w:szCs w:val="24"/>
        </w:rPr>
        <w:t>imagologia</w:t>
      </w:r>
      <w:proofErr w:type="spellEnd"/>
      <w:r w:rsidRPr="009D6BD5">
        <w:rPr>
          <w:rFonts w:ascii="Georgia" w:eastAsia="Times New Roman" w:hAnsi="Georgia" w:cs="Times New Roman"/>
          <w:color w:val="212529"/>
          <w:sz w:val="24"/>
          <w:szCs w:val="24"/>
        </w:rPr>
        <w:t>,</w:t>
      </w:r>
      <w:r w:rsidRPr="009D6BD5">
        <w:rPr>
          <w:rFonts w:ascii="Georgia" w:eastAsia="Times New Roman" w:hAnsi="Georgia" w:cs="Times New Roman"/>
          <w:i/>
          <w:iCs/>
          <w:color w:val="212529"/>
          <w:sz w:val="24"/>
          <w:szCs w:val="24"/>
        </w:rPr>
        <w:t> </w:t>
      </w:r>
      <w:r w:rsidRPr="009D6BD5">
        <w:rPr>
          <w:rFonts w:ascii="Georgia" w:eastAsia="Times New Roman" w:hAnsi="Georgia" w:cs="Times New Roman"/>
          <w:color w:val="212529"/>
          <w:sz w:val="24"/>
          <w:szCs w:val="24"/>
        </w:rPr>
        <w:t>Sellerio, Palermo.</w:t>
      </w:r>
    </w:p>
    <w:p w14:paraId="6A98778D" w14:textId="77777777" w:rsidR="009D6BD5" w:rsidRPr="009D6BD5" w:rsidRDefault="009D6BD5" w:rsidP="009D6BD5">
      <w:pPr>
        <w:shd w:val="clear" w:color="auto" w:fill="FFFFFF"/>
        <w:spacing w:before="120" w:after="100" w:afterAutospacing="1" w:line="360" w:lineRule="atLeast"/>
        <w:ind w:left="705" w:hanging="709"/>
        <w:rPr>
          <w:rFonts w:ascii="Arial" w:eastAsia="Times New Roman" w:hAnsi="Arial" w:cs="Arial"/>
          <w:color w:val="212529"/>
          <w:sz w:val="27"/>
          <w:szCs w:val="27"/>
        </w:rPr>
      </w:pPr>
      <w:proofErr w:type="spellStart"/>
      <w:r w:rsidRPr="009D6BD5">
        <w:rPr>
          <w:rFonts w:ascii="Georgia" w:eastAsia="Times New Roman" w:hAnsi="Georgia" w:cs="Times New Roman"/>
          <w:smallCaps/>
          <w:color w:val="212529"/>
          <w:sz w:val="24"/>
          <w:szCs w:val="24"/>
          <w:lang w:val="fr-FR"/>
        </w:rPr>
        <w:lastRenderedPageBreak/>
        <w:t>Proietti</w:t>
      </w:r>
      <w:proofErr w:type="spellEnd"/>
      <w:r w:rsidRPr="009D6BD5">
        <w:rPr>
          <w:rFonts w:ascii="Georgia" w:eastAsia="Times New Roman" w:hAnsi="Georgia" w:cs="Times New Roman"/>
          <w:color w:val="222222"/>
          <w:sz w:val="24"/>
          <w:szCs w:val="24"/>
          <w:shd w:val="clear" w:color="auto" w:fill="FFFFFF"/>
          <w:lang w:val="fr-FR"/>
        </w:rPr>
        <w:t> P.,</w:t>
      </w:r>
      <w:r w:rsidRPr="009D6BD5">
        <w:rPr>
          <w:rFonts w:ascii="Georgia" w:eastAsia="Times New Roman" w:hAnsi="Georgia" w:cs="Times New Roman"/>
          <w:i/>
          <w:iCs/>
          <w:color w:val="222222"/>
          <w:sz w:val="24"/>
          <w:szCs w:val="24"/>
          <w:shd w:val="clear" w:color="auto" w:fill="FFFFFF"/>
          <w:lang w:val="fr-FR"/>
        </w:rPr>
        <w:t> </w:t>
      </w:r>
      <w:r w:rsidRPr="009D6BD5">
        <w:rPr>
          <w:rFonts w:ascii="Georgia" w:eastAsia="Times New Roman" w:hAnsi="Georgia" w:cs="Times New Roman"/>
          <w:color w:val="222222"/>
          <w:sz w:val="24"/>
          <w:szCs w:val="24"/>
          <w:shd w:val="clear" w:color="auto" w:fill="FFFFFF"/>
          <w:lang w:val="fr-FR"/>
        </w:rPr>
        <w:t>(</w:t>
      </w:r>
      <w:r w:rsidRPr="009D6BD5">
        <w:rPr>
          <w:rFonts w:ascii="Georgia" w:eastAsia="Times New Roman" w:hAnsi="Georgia" w:cs="Times New Roman"/>
          <w:color w:val="222222"/>
          <w:sz w:val="24"/>
          <w:szCs w:val="24"/>
          <w:shd w:val="clear" w:color="auto" w:fill="FFFFFF"/>
          <w:lang w:val="fr-BE"/>
        </w:rPr>
        <w:t>2014),</w:t>
      </w:r>
      <w:r w:rsidRPr="009D6BD5">
        <w:rPr>
          <w:rFonts w:ascii="Times New Roman" w:eastAsia="Times New Roman" w:hAnsi="Times New Roman" w:cs="Times New Roman"/>
          <w:color w:val="212529"/>
          <w:sz w:val="24"/>
          <w:szCs w:val="24"/>
        </w:rPr>
        <w:t> </w:t>
      </w:r>
      <w:r w:rsidRPr="009D6BD5">
        <w:rPr>
          <w:rFonts w:ascii="Georgia" w:eastAsia="Times New Roman" w:hAnsi="Georgia" w:cs="Times New Roman"/>
          <w:color w:val="222222"/>
          <w:sz w:val="24"/>
          <w:szCs w:val="24"/>
          <w:shd w:val="clear" w:color="auto" w:fill="FFFFFF"/>
          <w:lang w:val="fr-FR"/>
        </w:rPr>
        <w:t>«</w:t>
      </w:r>
      <w:r w:rsidRPr="009D6BD5">
        <w:rPr>
          <w:rFonts w:ascii="Georgia" w:eastAsia="Times New Roman" w:hAnsi="Georgia" w:cs="Times New Roman"/>
          <w:color w:val="222222"/>
          <w:sz w:val="24"/>
          <w:szCs w:val="24"/>
          <w:shd w:val="clear" w:color="auto" w:fill="FFFFFF"/>
          <w:lang w:val="fr-BE"/>
        </w:rPr>
        <w:t>Voix et imaginaires nouveaux dans les lettres de l’Italie contemporaine», </w:t>
      </w:r>
      <w:r w:rsidRPr="009D6BD5">
        <w:rPr>
          <w:rFonts w:ascii="Georgia" w:eastAsia="Times New Roman" w:hAnsi="Georgia" w:cs="Times New Roman"/>
          <w:i/>
          <w:iCs/>
          <w:color w:val="222222"/>
          <w:sz w:val="24"/>
          <w:szCs w:val="24"/>
          <w:shd w:val="clear" w:color="auto" w:fill="FFFFFF"/>
          <w:lang w:val="fr-FR"/>
        </w:rPr>
        <w:t>Diogène</w:t>
      </w:r>
      <w:r w:rsidRPr="009D6BD5">
        <w:rPr>
          <w:rFonts w:ascii="Georgia" w:eastAsia="Times New Roman" w:hAnsi="Georgia" w:cs="Times New Roman"/>
          <w:color w:val="222222"/>
          <w:sz w:val="24"/>
          <w:szCs w:val="24"/>
          <w:shd w:val="clear" w:color="auto" w:fill="FFFFFF"/>
          <w:lang w:val="fr-BE"/>
        </w:rPr>
        <w:t>, «</w:t>
      </w:r>
      <w:r w:rsidRPr="009D6BD5">
        <w:rPr>
          <w:rFonts w:ascii="Georgia" w:eastAsia="Times New Roman" w:hAnsi="Georgia" w:cs="Times New Roman"/>
          <w:i/>
          <w:iCs/>
          <w:color w:val="222222"/>
          <w:sz w:val="24"/>
          <w:szCs w:val="24"/>
          <w:shd w:val="clear" w:color="auto" w:fill="FFFFFF"/>
          <w:lang w:val="fr-BE"/>
        </w:rPr>
        <w:t>Passages, frontières, métissages»</w:t>
      </w:r>
      <w:r w:rsidRPr="009D6BD5">
        <w:rPr>
          <w:rFonts w:ascii="Georgia" w:eastAsia="Times New Roman" w:hAnsi="Georgia" w:cs="Times New Roman"/>
          <w:color w:val="222222"/>
          <w:sz w:val="24"/>
          <w:szCs w:val="24"/>
          <w:shd w:val="clear" w:color="auto" w:fill="FFFFFF"/>
          <w:lang w:val="fr-BE"/>
        </w:rPr>
        <w:t>, 246-247.</w:t>
      </w:r>
    </w:p>
    <w:p w14:paraId="762F3B61" w14:textId="77777777" w:rsidR="009D6BD5" w:rsidRPr="009D6BD5" w:rsidRDefault="009D6BD5" w:rsidP="009D6BD5">
      <w:pPr>
        <w:shd w:val="clear" w:color="auto" w:fill="FFFFFF"/>
        <w:spacing w:before="120" w:after="100" w:afterAutospacing="1" w:line="360" w:lineRule="atLeast"/>
        <w:ind w:left="705" w:hanging="709"/>
        <w:jc w:val="both"/>
        <w:rPr>
          <w:rFonts w:ascii="Arial" w:eastAsia="Times New Roman" w:hAnsi="Arial" w:cs="Arial"/>
          <w:color w:val="212529"/>
          <w:sz w:val="27"/>
          <w:szCs w:val="27"/>
        </w:rPr>
      </w:pPr>
      <w:r w:rsidRPr="009D6BD5">
        <w:rPr>
          <w:rFonts w:ascii="Georgia" w:eastAsia="Times New Roman" w:hAnsi="Georgia" w:cs="Times New Roman"/>
          <w:smallCaps/>
          <w:color w:val="212529"/>
          <w:sz w:val="24"/>
          <w:szCs w:val="24"/>
        </w:rPr>
        <w:t>Proietti</w:t>
      </w:r>
      <w:r w:rsidRPr="009D6BD5">
        <w:rPr>
          <w:rFonts w:ascii="Georgia" w:eastAsia="Times New Roman" w:hAnsi="Georgia" w:cs="Times New Roman"/>
          <w:color w:val="212529"/>
          <w:sz w:val="24"/>
          <w:szCs w:val="24"/>
        </w:rPr>
        <w:t> P. (2018),</w:t>
      </w:r>
      <w:r w:rsidRPr="009D6BD5">
        <w:rPr>
          <w:rFonts w:ascii="Georgia" w:eastAsia="Times New Roman" w:hAnsi="Georgia" w:cs="Times New Roman"/>
          <w:i/>
          <w:iCs/>
          <w:color w:val="212529"/>
          <w:sz w:val="24"/>
          <w:szCs w:val="24"/>
        </w:rPr>
        <w:t> </w:t>
      </w:r>
      <w:proofErr w:type="spellStart"/>
      <w:r w:rsidRPr="009D6BD5">
        <w:rPr>
          <w:rFonts w:ascii="Georgia" w:eastAsia="Times New Roman" w:hAnsi="Georgia" w:cs="Times New Roman"/>
          <w:i/>
          <w:iCs/>
          <w:color w:val="212529"/>
          <w:sz w:val="24"/>
          <w:szCs w:val="24"/>
        </w:rPr>
        <w:t>Imagologia</w:t>
      </w:r>
      <w:proofErr w:type="spellEnd"/>
      <w:r w:rsidRPr="009D6BD5">
        <w:rPr>
          <w:rFonts w:ascii="Georgia" w:eastAsia="Times New Roman" w:hAnsi="Georgia" w:cs="Times New Roman"/>
          <w:i/>
          <w:iCs/>
          <w:color w:val="212529"/>
          <w:sz w:val="24"/>
          <w:szCs w:val="24"/>
        </w:rPr>
        <w:t xml:space="preserve"> e traduzione: la rappresentazione dell’Altro attraverso il viaggio del testo</w:t>
      </w:r>
      <w:r w:rsidRPr="009D6BD5">
        <w:rPr>
          <w:rFonts w:ascii="Georgia" w:eastAsia="Times New Roman" w:hAnsi="Georgia" w:cs="Times New Roman"/>
          <w:color w:val="212529"/>
          <w:sz w:val="24"/>
          <w:szCs w:val="24"/>
        </w:rPr>
        <w:t xml:space="preserve">, in Sinopoli F., </w:t>
      </w:r>
      <w:proofErr w:type="spellStart"/>
      <w:r w:rsidRPr="009D6BD5">
        <w:rPr>
          <w:rFonts w:ascii="Georgia" w:eastAsia="Times New Roman" w:hAnsi="Georgia" w:cs="Times New Roman"/>
          <w:color w:val="212529"/>
          <w:sz w:val="24"/>
          <w:szCs w:val="24"/>
        </w:rPr>
        <w:t>Moll</w:t>
      </w:r>
      <w:proofErr w:type="spellEnd"/>
      <w:r w:rsidRPr="009D6BD5">
        <w:rPr>
          <w:rFonts w:ascii="Georgia" w:eastAsia="Times New Roman" w:hAnsi="Georgia" w:cs="Times New Roman"/>
          <w:color w:val="212529"/>
          <w:sz w:val="24"/>
          <w:szCs w:val="24"/>
        </w:rPr>
        <w:t xml:space="preserve"> N. (a cura di), </w:t>
      </w:r>
      <w:r w:rsidRPr="009D6BD5">
        <w:rPr>
          <w:rFonts w:ascii="Georgia" w:eastAsia="Times New Roman" w:hAnsi="Georgia" w:cs="Times New Roman"/>
          <w:i/>
          <w:iCs/>
          <w:color w:val="212529"/>
          <w:sz w:val="24"/>
          <w:szCs w:val="24"/>
        </w:rPr>
        <w:t>Interpretare l’immagine letteraria dell’alterità: prospettive teoriche e critiche comparate</w:t>
      </w:r>
      <w:r w:rsidRPr="009D6BD5">
        <w:rPr>
          <w:rFonts w:ascii="Georgia" w:eastAsia="Times New Roman" w:hAnsi="Georgia" w:cs="Times New Roman"/>
          <w:color w:val="212529"/>
          <w:sz w:val="24"/>
          <w:szCs w:val="24"/>
        </w:rPr>
        <w:t xml:space="preserve">, </w:t>
      </w:r>
      <w:proofErr w:type="spellStart"/>
      <w:r w:rsidRPr="009D6BD5">
        <w:rPr>
          <w:rFonts w:ascii="Georgia" w:eastAsia="Times New Roman" w:hAnsi="Georgia" w:cs="Times New Roman"/>
          <w:color w:val="212529"/>
          <w:sz w:val="24"/>
          <w:szCs w:val="24"/>
        </w:rPr>
        <w:t>Lithos</w:t>
      </w:r>
      <w:proofErr w:type="spellEnd"/>
      <w:r w:rsidRPr="009D6BD5">
        <w:rPr>
          <w:rFonts w:ascii="Georgia" w:eastAsia="Times New Roman" w:hAnsi="Georgia" w:cs="Times New Roman"/>
          <w:color w:val="212529"/>
          <w:sz w:val="24"/>
          <w:szCs w:val="24"/>
        </w:rPr>
        <w:t>, Roma.</w:t>
      </w:r>
    </w:p>
    <w:p w14:paraId="0D05FAB1" w14:textId="77777777" w:rsidR="009D6BD5" w:rsidRPr="009D6BD5" w:rsidRDefault="009D6BD5" w:rsidP="009D6BD5">
      <w:pPr>
        <w:shd w:val="clear" w:color="auto" w:fill="FFFFFF"/>
        <w:spacing w:before="120" w:after="100" w:afterAutospacing="1" w:line="360" w:lineRule="atLeast"/>
        <w:ind w:left="705" w:hanging="709"/>
        <w:jc w:val="both"/>
        <w:rPr>
          <w:rFonts w:ascii="Arial" w:eastAsia="Times New Roman" w:hAnsi="Arial" w:cs="Arial"/>
          <w:color w:val="212529"/>
          <w:sz w:val="27"/>
          <w:szCs w:val="27"/>
        </w:rPr>
      </w:pPr>
      <w:r w:rsidRPr="009D6BD5">
        <w:rPr>
          <w:rFonts w:ascii="Georgia" w:eastAsia="Times New Roman" w:hAnsi="Georgia" w:cs="Times New Roman"/>
          <w:smallCaps/>
          <w:color w:val="212529"/>
          <w:sz w:val="24"/>
          <w:szCs w:val="24"/>
          <w:lang w:val="fr-FR"/>
        </w:rPr>
        <w:t>Segers</w:t>
      </w:r>
      <w:r w:rsidRPr="009D6BD5">
        <w:rPr>
          <w:rFonts w:ascii="Georgia" w:eastAsia="Times New Roman" w:hAnsi="Georgia" w:cs="Times New Roman"/>
          <w:color w:val="212529"/>
          <w:sz w:val="24"/>
          <w:szCs w:val="24"/>
          <w:lang w:val="fr-FR"/>
        </w:rPr>
        <w:t xml:space="preserve">, R. T. (1997), «La </w:t>
      </w:r>
      <w:proofErr w:type="spellStart"/>
      <w:r w:rsidRPr="009D6BD5">
        <w:rPr>
          <w:rFonts w:ascii="Georgia" w:eastAsia="Times New Roman" w:hAnsi="Georgia" w:cs="Times New Roman"/>
          <w:color w:val="212529"/>
          <w:sz w:val="24"/>
          <w:szCs w:val="24"/>
          <w:lang w:val="fr-FR"/>
        </w:rPr>
        <w:t>Scuola</w:t>
      </w:r>
      <w:proofErr w:type="spellEnd"/>
      <w:r w:rsidRPr="009D6BD5">
        <w:rPr>
          <w:rFonts w:ascii="Georgia" w:eastAsia="Times New Roman" w:hAnsi="Georgia" w:cs="Times New Roman"/>
          <w:color w:val="212529"/>
          <w:sz w:val="24"/>
          <w:szCs w:val="24"/>
          <w:lang w:val="fr-FR"/>
        </w:rPr>
        <w:t xml:space="preserve"> di Costanza: </w:t>
      </w:r>
      <w:proofErr w:type="spellStart"/>
      <w:r w:rsidRPr="009D6BD5">
        <w:rPr>
          <w:rFonts w:ascii="Georgia" w:eastAsia="Times New Roman" w:hAnsi="Georgia" w:cs="Times New Roman"/>
          <w:color w:val="212529"/>
          <w:sz w:val="24"/>
          <w:szCs w:val="24"/>
          <w:lang w:val="fr-FR"/>
        </w:rPr>
        <w:t>Jauss</w:t>
      </w:r>
      <w:proofErr w:type="spellEnd"/>
      <w:r w:rsidRPr="009D6BD5">
        <w:rPr>
          <w:rFonts w:ascii="Georgia" w:eastAsia="Times New Roman" w:hAnsi="Georgia" w:cs="Times New Roman"/>
          <w:color w:val="212529"/>
          <w:sz w:val="24"/>
          <w:szCs w:val="24"/>
          <w:lang w:val="fr-FR"/>
        </w:rPr>
        <w:t xml:space="preserve"> e </w:t>
      </w:r>
      <w:proofErr w:type="spellStart"/>
      <w:r w:rsidRPr="009D6BD5">
        <w:rPr>
          <w:rFonts w:ascii="Georgia" w:eastAsia="Times New Roman" w:hAnsi="Georgia" w:cs="Times New Roman"/>
          <w:color w:val="212529"/>
          <w:sz w:val="24"/>
          <w:szCs w:val="24"/>
          <w:lang w:val="fr-FR"/>
        </w:rPr>
        <w:t>Iser</w:t>
      </w:r>
      <w:proofErr w:type="spellEnd"/>
      <w:r w:rsidRPr="009D6BD5">
        <w:rPr>
          <w:rFonts w:ascii="Georgia" w:eastAsia="Times New Roman" w:hAnsi="Georgia" w:cs="Times New Roman"/>
          <w:color w:val="212529"/>
          <w:sz w:val="24"/>
          <w:szCs w:val="24"/>
          <w:lang w:val="fr-FR"/>
        </w:rPr>
        <w:t>», in J. </w:t>
      </w:r>
      <w:proofErr w:type="spellStart"/>
      <w:r w:rsidRPr="009D6BD5">
        <w:rPr>
          <w:rFonts w:ascii="Times New Roman" w:eastAsia="Times New Roman" w:hAnsi="Times New Roman" w:cs="Times New Roman"/>
          <w:smallCaps/>
          <w:color w:val="212529"/>
          <w:sz w:val="24"/>
          <w:szCs w:val="24"/>
          <w:lang w:val="fr-FR"/>
        </w:rPr>
        <w:t>Bessière</w:t>
      </w:r>
      <w:proofErr w:type="spellEnd"/>
      <w:r w:rsidRPr="009D6BD5">
        <w:rPr>
          <w:rFonts w:ascii="Georgia" w:eastAsia="Times New Roman" w:hAnsi="Georgia" w:cs="Times New Roman"/>
          <w:color w:val="212529"/>
          <w:sz w:val="24"/>
          <w:szCs w:val="24"/>
          <w:lang w:val="fr-FR"/>
        </w:rPr>
        <w:t>, E. </w:t>
      </w:r>
      <w:r w:rsidRPr="009D6BD5">
        <w:rPr>
          <w:rFonts w:ascii="Times New Roman" w:eastAsia="Times New Roman" w:hAnsi="Times New Roman" w:cs="Times New Roman"/>
          <w:smallCaps/>
          <w:color w:val="212529"/>
          <w:sz w:val="24"/>
          <w:szCs w:val="24"/>
          <w:lang w:val="fr-FR"/>
        </w:rPr>
        <w:t>Kushner</w:t>
      </w:r>
      <w:r w:rsidRPr="009D6BD5">
        <w:rPr>
          <w:rFonts w:ascii="Georgia" w:eastAsia="Times New Roman" w:hAnsi="Georgia" w:cs="Times New Roman"/>
          <w:color w:val="212529"/>
          <w:sz w:val="24"/>
          <w:szCs w:val="24"/>
          <w:lang w:val="fr-FR"/>
        </w:rPr>
        <w:t>, R. </w:t>
      </w:r>
      <w:r w:rsidRPr="009D6BD5">
        <w:rPr>
          <w:rFonts w:ascii="Georgia" w:eastAsia="Times New Roman" w:hAnsi="Georgia" w:cs="Times New Roman"/>
          <w:smallCaps/>
          <w:color w:val="212529"/>
          <w:sz w:val="24"/>
          <w:szCs w:val="24"/>
          <w:lang w:val="fr-FR"/>
        </w:rPr>
        <w:t>Pageaux</w:t>
      </w:r>
      <w:r w:rsidRPr="009D6BD5">
        <w:rPr>
          <w:rFonts w:ascii="Georgia" w:eastAsia="Times New Roman" w:hAnsi="Georgia" w:cs="Times New Roman"/>
          <w:color w:val="212529"/>
          <w:sz w:val="24"/>
          <w:szCs w:val="24"/>
          <w:lang w:val="fr-FR"/>
        </w:rPr>
        <w:t> D.-H. 1994, </w:t>
      </w:r>
      <w:r w:rsidRPr="009D6BD5">
        <w:rPr>
          <w:rFonts w:ascii="Georgia" w:eastAsia="Times New Roman" w:hAnsi="Georgia" w:cs="Times New Roman"/>
          <w:i/>
          <w:iCs/>
          <w:color w:val="212529"/>
          <w:sz w:val="24"/>
          <w:szCs w:val="24"/>
          <w:lang w:val="fr-FR"/>
        </w:rPr>
        <w:t>La littérature générale et comparée</w:t>
      </w:r>
      <w:r w:rsidRPr="009D6BD5">
        <w:rPr>
          <w:rFonts w:ascii="Georgia" w:eastAsia="Times New Roman" w:hAnsi="Georgia" w:cs="Times New Roman"/>
          <w:color w:val="212529"/>
          <w:sz w:val="24"/>
          <w:szCs w:val="24"/>
          <w:lang w:val="fr-FR"/>
        </w:rPr>
        <w:t>, Armand Colin, Paris.</w:t>
      </w:r>
    </w:p>
    <w:p w14:paraId="396F14EB" w14:textId="77777777" w:rsidR="009D6BD5" w:rsidRPr="009D6BD5" w:rsidRDefault="009D6BD5" w:rsidP="009D6BD5">
      <w:pPr>
        <w:shd w:val="clear" w:color="auto" w:fill="FFFFFF"/>
        <w:spacing w:before="120" w:after="100" w:afterAutospacing="1" w:line="360" w:lineRule="atLeast"/>
        <w:ind w:left="705" w:hanging="709"/>
        <w:jc w:val="both"/>
        <w:rPr>
          <w:rFonts w:ascii="Arial" w:eastAsia="Times New Roman" w:hAnsi="Arial" w:cs="Arial"/>
          <w:color w:val="212529"/>
          <w:sz w:val="27"/>
          <w:szCs w:val="27"/>
          <w:lang w:val="en-GB"/>
        </w:rPr>
      </w:pPr>
      <w:r w:rsidRPr="009D6BD5">
        <w:rPr>
          <w:rFonts w:ascii="Georgia" w:eastAsia="Times New Roman" w:hAnsi="Georgia" w:cs="Times New Roman"/>
          <w:smallCaps/>
          <w:color w:val="212529"/>
          <w:sz w:val="24"/>
          <w:szCs w:val="24"/>
          <w:lang w:val="en-US"/>
        </w:rPr>
        <w:t>Tompkins</w:t>
      </w:r>
      <w:r w:rsidRPr="009D6BD5">
        <w:rPr>
          <w:rFonts w:ascii="Georgia" w:eastAsia="Times New Roman" w:hAnsi="Georgia" w:cs="Times New Roman"/>
          <w:color w:val="212529"/>
          <w:sz w:val="24"/>
          <w:szCs w:val="24"/>
          <w:lang w:val="en-US"/>
        </w:rPr>
        <w:t> J. P. (ed.) (1980), </w:t>
      </w:r>
      <w:r w:rsidRPr="009D6BD5">
        <w:rPr>
          <w:rFonts w:ascii="Georgia" w:eastAsia="Times New Roman" w:hAnsi="Georgia" w:cs="Times New Roman"/>
          <w:i/>
          <w:iCs/>
          <w:color w:val="212529"/>
          <w:sz w:val="24"/>
          <w:szCs w:val="24"/>
          <w:lang w:val="en-US"/>
        </w:rPr>
        <w:t>Reader-Response Criticism. From Formalism to Poststructuralism</w:t>
      </w:r>
      <w:r w:rsidRPr="009D6BD5">
        <w:rPr>
          <w:rFonts w:ascii="Georgia" w:eastAsia="Times New Roman" w:hAnsi="Georgia" w:cs="Times New Roman"/>
          <w:color w:val="212529"/>
          <w:sz w:val="24"/>
          <w:szCs w:val="24"/>
          <w:lang w:val="en-US"/>
        </w:rPr>
        <w:t>, The Johns Hopkins UP, Baltimore.</w:t>
      </w:r>
    </w:p>
    <w:p w14:paraId="7582532F" w14:textId="77777777" w:rsidR="009D6BD5" w:rsidRPr="009D6BD5" w:rsidRDefault="009D6BD5" w:rsidP="009D6BD5">
      <w:pPr>
        <w:shd w:val="clear" w:color="auto" w:fill="FFFFFF"/>
        <w:spacing w:before="120" w:after="100" w:afterAutospacing="1" w:line="360" w:lineRule="atLeast"/>
        <w:ind w:left="705" w:hanging="709"/>
        <w:jc w:val="both"/>
        <w:rPr>
          <w:rFonts w:ascii="Arial" w:eastAsia="Times New Roman" w:hAnsi="Arial" w:cs="Arial"/>
          <w:color w:val="212529"/>
          <w:sz w:val="27"/>
          <w:szCs w:val="27"/>
        </w:rPr>
      </w:pPr>
      <w:r w:rsidRPr="009D6BD5">
        <w:rPr>
          <w:rFonts w:ascii="Georgia" w:eastAsia="Times New Roman" w:hAnsi="Georgia" w:cs="Times New Roman"/>
          <w:i/>
          <w:iCs/>
          <w:color w:val="212529"/>
          <w:sz w:val="24"/>
          <w:szCs w:val="24"/>
        </w:rPr>
        <w:t xml:space="preserve">«Traduzione intersemiotica e nuove forme di testualità – </w:t>
      </w:r>
      <w:proofErr w:type="spellStart"/>
      <w:r w:rsidRPr="009D6BD5">
        <w:rPr>
          <w:rFonts w:ascii="Georgia" w:eastAsia="Times New Roman" w:hAnsi="Georgia" w:cs="Times New Roman"/>
          <w:i/>
          <w:iCs/>
          <w:color w:val="212529"/>
          <w:sz w:val="24"/>
          <w:szCs w:val="24"/>
        </w:rPr>
        <w:t>Intersemiotic</w:t>
      </w:r>
      <w:proofErr w:type="spellEnd"/>
      <w:r w:rsidRPr="009D6BD5">
        <w:rPr>
          <w:rFonts w:ascii="Georgia" w:eastAsia="Times New Roman" w:hAnsi="Georgia" w:cs="Times New Roman"/>
          <w:i/>
          <w:iCs/>
          <w:color w:val="212529"/>
          <w:sz w:val="24"/>
          <w:szCs w:val="24"/>
        </w:rPr>
        <w:t xml:space="preserve"> </w:t>
      </w:r>
      <w:proofErr w:type="spellStart"/>
      <w:r w:rsidRPr="009D6BD5">
        <w:rPr>
          <w:rFonts w:ascii="Georgia" w:eastAsia="Times New Roman" w:hAnsi="Georgia" w:cs="Times New Roman"/>
          <w:i/>
          <w:iCs/>
          <w:color w:val="212529"/>
          <w:sz w:val="24"/>
          <w:szCs w:val="24"/>
        </w:rPr>
        <w:t>translation</w:t>
      </w:r>
      <w:proofErr w:type="spellEnd"/>
      <w:r w:rsidRPr="009D6BD5">
        <w:rPr>
          <w:rFonts w:ascii="Georgia" w:eastAsia="Times New Roman" w:hAnsi="Georgia" w:cs="Times New Roman"/>
          <w:i/>
          <w:iCs/>
          <w:color w:val="212529"/>
          <w:sz w:val="24"/>
          <w:szCs w:val="24"/>
        </w:rPr>
        <w:t xml:space="preserve"> and new </w:t>
      </w:r>
      <w:proofErr w:type="spellStart"/>
      <w:r w:rsidRPr="009D6BD5">
        <w:rPr>
          <w:rFonts w:ascii="Georgia" w:eastAsia="Times New Roman" w:hAnsi="Georgia" w:cs="Times New Roman"/>
          <w:i/>
          <w:iCs/>
          <w:color w:val="212529"/>
          <w:sz w:val="24"/>
          <w:szCs w:val="24"/>
        </w:rPr>
        <w:t>forms</w:t>
      </w:r>
      <w:proofErr w:type="spellEnd"/>
      <w:r w:rsidRPr="009D6BD5">
        <w:rPr>
          <w:rFonts w:ascii="Georgia" w:eastAsia="Times New Roman" w:hAnsi="Georgia" w:cs="Times New Roman"/>
          <w:i/>
          <w:iCs/>
          <w:color w:val="212529"/>
          <w:sz w:val="24"/>
          <w:szCs w:val="24"/>
        </w:rPr>
        <w:t xml:space="preserve"> of </w:t>
      </w:r>
      <w:proofErr w:type="spellStart"/>
      <w:r w:rsidRPr="009D6BD5">
        <w:rPr>
          <w:rFonts w:ascii="Georgia" w:eastAsia="Times New Roman" w:hAnsi="Georgia" w:cs="Times New Roman"/>
          <w:i/>
          <w:iCs/>
          <w:color w:val="212529"/>
          <w:sz w:val="24"/>
          <w:szCs w:val="24"/>
        </w:rPr>
        <w:t>textuality</w:t>
      </w:r>
      <w:proofErr w:type="spellEnd"/>
      <w:r w:rsidRPr="009D6BD5">
        <w:rPr>
          <w:rFonts w:ascii="Georgia" w:eastAsia="Times New Roman" w:hAnsi="Georgia" w:cs="Times New Roman"/>
          <w:color w:val="212529"/>
          <w:sz w:val="24"/>
          <w:szCs w:val="24"/>
        </w:rPr>
        <w:t>», </w:t>
      </w:r>
      <w:proofErr w:type="spellStart"/>
      <w:r w:rsidRPr="009D6BD5">
        <w:rPr>
          <w:rFonts w:ascii="Georgia" w:eastAsia="Times New Roman" w:hAnsi="Georgia" w:cs="Times New Roman"/>
          <w:i/>
          <w:iCs/>
          <w:color w:val="212529"/>
          <w:sz w:val="24"/>
          <w:szCs w:val="24"/>
        </w:rPr>
        <w:t>Comparatismi</w:t>
      </w:r>
      <w:proofErr w:type="spellEnd"/>
      <w:r w:rsidRPr="009D6BD5">
        <w:rPr>
          <w:rFonts w:ascii="Georgia" w:eastAsia="Times New Roman" w:hAnsi="Georgia" w:cs="Times New Roman"/>
          <w:i/>
          <w:iCs/>
          <w:color w:val="212529"/>
          <w:sz w:val="24"/>
          <w:szCs w:val="24"/>
        </w:rPr>
        <w:t>, </w:t>
      </w:r>
      <w:r w:rsidRPr="009D6BD5">
        <w:rPr>
          <w:rFonts w:ascii="Georgia" w:eastAsia="Times New Roman" w:hAnsi="Georgia" w:cs="Times New Roman"/>
          <w:color w:val="212529"/>
          <w:sz w:val="24"/>
          <w:szCs w:val="24"/>
        </w:rPr>
        <w:t>II, (2017).</w:t>
      </w:r>
    </w:p>
    <w:p w14:paraId="23BE2DC8" w14:textId="77777777" w:rsidR="009D6BD5" w:rsidRPr="009D6BD5" w:rsidRDefault="009D6BD5" w:rsidP="009D6BD5">
      <w:pPr>
        <w:shd w:val="clear" w:color="auto" w:fill="FFFFFF"/>
        <w:spacing w:before="120" w:after="100" w:afterAutospacing="1" w:line="360" w:lineRule="atLeast"/>
        <w:ind w:left="705" w:hanging="709"/>
        <w:jc w:val="both"/>
        <w:rPr>
          <w:rFonts w:ascii="Arial" w:eastAsia="Times New Roman" w:hAnsi="Arial" w:cs="Arial"/>
          <w:color w:val="212529"/>
          <w:sz w:val="27"/>
          <w:szCs w:val="27"/>
        </w:rPr>
      </w:pPr>
      <w:r w:rsidRPr="009D6BD5">
        <w:rPr>
          <w:rFonts w:ascii="Georgia" w:eastAsia="Times New Roman" w:hAnsi="Georgia" w:cs="Times New Roman"/>
          <w:smallCaps/>
          <w:color w:val="212529"/>
          <w:sz w:val="24"/>
          <w:szCs w:val="24"/>
        </w:rPr>
        <w:t>Sisto</w:t>
      </w:r>
      <w:r w:rsidRPr="009D6BD5">
        <w:rPr>
          <w:rFonts w:ascii="Georgia" w:eastAsia="Times New Roman" w:hAnsi="Georgia" w:cs="Times New Roman"/>
          <w:color w:val="212529"/>
          <w:sz w:val="24"/>
          <w:szCs w:val="24"/>
        </w:rPr>
        <w:t> M. (2019), </w:t>
      </w:r>
      <w:r w:rsidRPr="009D6BD5">
        <w:rPr>
          <w:rFonts w:ascii="Georgia" w:eastAsia="Times New Roman" w:hAnsi="Georgia" w:cs="Times New Roman"/>
          <w:i/>
          <w:iCs/>
          <w:color w:val="212529"/>
          <w:sz w:val="24"/>
          <w:szCs w:val="24"/>
        </w:rPr>
        <w:t>Traiettorie. Studi sulla letteratura tradotta in Italia</w:t>
      </w:r>
      <w:r w:rsidRPr="009D6BD5">
        <w:rPr>
          <w:rFonts w:ascii="Georgia" w:eastAsia="Times New Roman" w:hAnsi="Georgia" w:cs="Times New Roman"/>
          <w:color w:val="212529"/>
          <w:sz w:val="24"/>
          <w:szCs w:val="24"/>
        </w:rPr>
        <w:t>, Macerata, Quodlibet.</w:t>
      </w:r>
    </w:p>
    <w:p w14:paraId="51EF274C" w14:textId="77777777" w:rsidR="009D6BD5" w:rsidRPr="009D6BD5" w:rsidRDefault="009D6BD5" w:rsidP="009D6BD5">
      <w:pPr>
        <w:shd w:val="clear" w:color="auto" w:fill="FFFFFF"/>
        <w:spacing w:before="120" w:after="100" w:afterAutospacing="1" w:line="360" w:lineRule="atLeast"/>
        <w:ind w:left="705" w:hanging="709"/>
        <w:jc w:val="both"/>
        <w:rPr>
          <w:rFonts w:ascii="Arial" w:eastAsia="Times New Roman" w:hAnsi="Arial" w:cs="Arial"/>
          <w:color w:val="212529"/>
          <w:sz w:val="27"/>
          <w:szCs w:val="27"/>
          <w:lang w:val="en-GB"/>
        </w:rPr>
      </w:pPr>
      <w:proofErr w:type="spellStart"/>
      <w:r w:rsidRPr="009D6BD5">
        <w:rPr>
          <w:rFonts w:ascii="Georgia" w:eastAsia="Times New Roman" w:hAnsi="Georgia" w:cs="Times New Roman"/>
          <w:smallCaps/>
          <w:color w:val="212529"/>
          <w:sz w:val="24"/>
          <w:szCs w:val="24"/>
          <w:lang w:val="en-US"/>
        </w:rPr>
        <w:t>Toury</w:t>
      </w:r>
      <w:proofErr w:type="spellEnd"/>
      <w:r w:rsidRPr="009D6BD5">
        <w:rPr>
          <w:rFonts w:ascii="Georgia" w:eastAsia="Times New Roman" w:hAnsi="Georgia" w:cs="Times New Roman"/>
          <w:color w:val="212529"/>
          <w:sz w:val="24"/>
          <w:szCs w:val="24"/>
          <w:lang w:val="en-US"/>
        </w:rPr>
        <w:t> G. (1995), </w:t>
      </w:r>
      <w:r w:rsidRPr="009D6BD5">
        <w:rPr>
          <w:rFonts w:ascii="Georgia" w:eastAsia="Times New Roman" w:hAnsi="Georgia" w:cs="Times New Roman"/>
          <w:i/>
          <w:iCs/>
          <w:color w:val="212529"/>
          <w:sz w:val="24"/>
          <w:szCs w:val="24"/>
          <w:lang w:val="en-US"/>
        </w:rPr>
        <w:t>The Nature and Role of Norms in Translation</w:t>
      </w:r>
      <w:r w:rsidRPr="009D6BD5">
        <w:rPr>
          <w:rFonts w:ascii="Georgia" w:eastAsia="Times New Roman" w:hAnsi="Georgia" w:cs="Times New Roman"/>
          <w:color w:val="212529"/>
          <w:sz w:val="24"/>
          <w:szCs w:val="24"/>
          <w:lang w:val="en-US"/>
        </w:rPr>
        <w:t xml:space="preserve">, in </w:t>
      </w:r>
      <w:proofErr w:type="spellStart"/>
      <w:r w:rsidRPr="009D6BD5">
        <w:rPr>
          <w:rFonts w:ascii="Georgia" w:eastAsia="Times New Roman" w:hAnsi="Georgia" w:cs="Times New Roman"/>
          <w:color w:val="212529"/>
          <w:sz w:val="24"/>
          <w:szCs w:val="24"/>
          <w:lang w:val="en-US"/>
        </w:rPr>
        <w:t>Toury</w:t>
      </w:r>
      <w:proofErr w:type="spellEnd"/>
      <w:r w:rsidRPr="009D6BD5">
        <w:rPr>
          <w:rFonts w:ascii="Georgia" w:eastAsia="Times New Roman" w:hAnsi="Georgia" w:cs="Times New Roman"/>
          <w:color w:val="212529"/>
          <w:sz w:val="24"/>
          <w:szCs w:val="24"/>
          <w:lang w:val="en-US"/>
        </w:rPr>
        <w:t xml:space="preserve"> G. </w:t>
      </w:r>
      <w:r w:rsidRPr="009D6BD5">
        <w:rPr>
          <w:rFonts w:ascii="Georgia" w:eastAsia="Times New Roman" w:hAnsi="Georgia" w:cs="Times New Roman"/>
          <w:i/>
          <w:iCs/>
          <w:color w:val="212529"/>
          <w:sz w:val="24"/>
          <w:szCs w:val="24"/>
          <w:lang w:val="en-US"/>
        </w:rPr>
        <w:t>Descriptive Translation Studies and Beyond</w:t>
      </w:r>
      <w:r w:rsidRPr="009D6BD5">
        <w:rPr>
          <w:rFonts w:ascii="Georgia" w:eastAsia="Times New Roman" w:hAnsi="Georgia" w:cs="Times New Roman"/>
          <w:color w:val="212529"/>
          <w:sz w:val="24"/>
          <w:szCs w:val="24"/>
          <w:lang w:val="en-US"/>
        </w:rPr>
        <w:t>, John Benjamins, Amsterdam-Philadelphia.</w:t>
      </w:r>
    </w:p>
    <w:p w14:paraId="2F263A1C" w14:textId="77777777" w:rsidR="00B14E88" w:rsidRPr="009D6BD5" w:rsidRDefault="00B14E88">
      <w:pPr>
        <w:rPr>
          <w:lang w:val="en-GB"/>
        </w:rPr>
      </w:pPr>
    </w:p>
    <w:sectPr w:rsidR="00B14E88" w:rsidRPr="009D6BD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662E85"/>
    <w:multiLevelType w:val="multilevel"/>
    <w:tmpl w:val="DC16E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6BD5"/>
    <w:rsid w:val="006E169C"/>
    <w:rsid w:val="009D6BD5"/>
    <w:rsid w:val="00B14E88"/>
    <w:rsid w:val="00BA25C8"/>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B72376"/>
  <w15:chartTrackingRefBased/>
  <w15:docId w15:val="{DCA56F54-DCA6-4002-9853-A99E3593A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it-IT"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9D6BD5"/>
    <w:pPr>
      <w:spacing w:before="100" w:beforeAutospacing="1" w:after="100" w:afterAutospacing="1" w:line="240" w:lineRule="auto"/>
    </w:pPr>
    <w:rPr>
      <w:rFonts w:ascii="Times New Roman" w:eastAsia="Times New Roman" w:hAnsi="Times New Roman" w:cs="Times New Roman"/>
      <w:sz w:val="24"/>
      <w:szCs w:val="24"/>
    </w:rPr>
  </w:style>
  <w:style w:type="character" w:styleId="Collegamentoipertestuale">
    <w:name w:val="Hyperlink"/>
    <w:basedOn w:val="Carpredefinitoparagrafo"/>
    <w:uiPriority w:val="99"/>
    <w:semiHidden/>
    <w:unhideWhenUsed/>
    <w:rsid w:val="009D6BD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3479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terartes@iulm.it" TargetMode="External"/><Relationship Id="rId5" Type="http://schemas.openxmlformats.org/officeDocument/2006/relationships/hyperlink" Target="https://www.iulm.it/wps/wcm/connect/iulm/eda7bd95-a435-4e01-a599-969232be42f1/Norme+autori+def.pdf?MOD=AJPERES"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1847</Words>
  <Characters>10529</Characters>
  <Application>Microsoft Office Word</Application>
  <DocSecurity>0</DocSecurity>
  <Lines>87</Lines>
  <Paragraphs>24</Paragraphs>
  <ScaleCrop>false</ScaleCrop>
  <Company/>
  <LinksUpToDate>false</LinksUpToDate>
  <CharactersWithSpaces>12352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Zangrandi Silvia</dc:creator>
  <cp:keywords/>
  <dc:description/>
  <cp:lastModifiedBy>Zangrandi Silvia</cp:lastModifiedBy>
  <cp:revision>1</cp:revision>
  <dcterms:created xsi:type="dcterms:W3CDTF">2026-01-22T11:46:00Z</dcterms:created>
  <dcterms:modified xsi:type="dcterms:W3CDTF">2026-01-22T11:46:00Z</dcterms:modified>
</cp:coreProperties>
</file>